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Vergleichsüberlegung</w:t>
      </w:r>
    </w:p>
    <w:p>
      <w:pPr>
        <w:spacing w:line="259" w:lineRule="auto" w:after="60"/>
        <w:jc w:val="left"/>
      </w:pPr>
      <w:r>
        <w:t>Statusstrang: Ein Vergleich oder Teilanerkenntnis für einzelne Monate kann wirtschaftlich sinnvoll sein, wenn dadurch rentenrechtlich relevante Pflichtbeiträge entstehen und Säumniszuschläge begrenzt werden. Nicht akzeptieren: pauschale Beschäftigung für alle Jahre ohne Abgrenzung zu den weiteren Auftraggebern.</w:t>
      </w:r>
    </w:p>
    <w:p>
      <w:pPr>
        <w:spacing w:line="259" w:lineRule="auto" w:after="60"/>
        <w:jc w:val="left"/>
      </w:pPr>
      <w:r>
        <w:t>Betriebsrente: Ziel ist keine Konfrontation, sondern Korrektur der anrechenbaren Dienstzeit. Wenn die Versorgungskasse unsicher bleibt, Vergleich über pauschale Anhebung der Anwartschaft prüfen.</w:t>
      </w:r>
    </w:p>
    <w:p>
      <w:pPr>
        <w:spacing w:line="259" w:lineRule="auto" w:after="60"/>
        <w:jc w:val="left"/>
      </w:pPr>
      <w:r>
        <w:t>Erwerbsminderung: Kein Vergleich ohne medizinische Grundlage. Bei unklarem Leistungsvermögen kann ein gerichtliches Gutachten mehr bringen als schnelle Teilablehnung.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