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Anhörung der Deutschen Rentenversicherung Bund</w:t>
      </w:r>
    </w:p>
    <w:p>
      <w:pPr>
        <w:spacing w:before="120" w:after="60" w:line="259" w:lineRule="auto"/>
        <w:jc w:val="left"/>
      </w:pPr>
      <w:r>
        <w:rPr>
          <w:rFonts w:ascii="Times New Roman" w:hAnsi="Times New Roman"/>
          <w:b/>
          <w:sz w:val="22"/>
        </w:rPr>
        <w:t>Deutsche Rentenversicherung Bund</w:t>
      </w:r>
    </w:p>
    <w:p>
      <w:pPr>
        <w:spacing w:before="120" w:after="60" w:line="259" w:lineRule="auto"/>
        <w:jc w:val="left"/>
      </w:pPr>
      <w:r>
        <w:rPr>
          <w:rFonts w:ascii="Times New Roman" w:hAnsi="Times New Roman"/>
          <w:b/>
          <w:sz w:val="22"/>
        </w:rPr>
        <w:t>Prüfdienst Essen</w:t>
      </w:r>
    </w:p>
    <w:p>
      <w:pPr>
        <w:spacing w:before="120" w:after="60" w:line="259" w:lineRule="auto"/>
        <w:jc w:val="left"/>
      </w:pPr>
      <w:r>
        <w:rPr>
          <w:rFonts w:ascii="Times New Roman" w:hAnsi="Times New Roman"/>
          <w:b w:val="0"/>
          <w:i w:val="0"/>
          <w:sz w:val="22"/>
        </w:rPr>
        <w:t>Aktenzeichen 28 BP 6412/26-KR</w:t>
      </w:r>
    </w:p>
    <w:p>
      <w:pPr>
        <w:spacing w:before="120" w:after="60" w:line="259" w:lineRule="auto"/>
        <w:jc w:val="left"/>
      </w:pPr>
      <w:r>
        <w:rPr>
          <w:rFonts w:ascii="Times New Roman" w:hAnsi="Times New Roman"/>
          <w:b/>
          <w:sz w:val="22"/>
        </w:rPr>
        <w:t>An RuhrKurier GmbH</w:t>
      </w:r>
    </w:p>
    <w:p>
      <w:pPr>
        <w:spacing w:before="120" w:after="60" w:line="259" w:lineRule="auto"/>
        <w:jc w:val="left"/>
      </w:pPr>
      <w:r>
        <w:rPr>
          <w:rFonts w:ascii="Times New Roman" w:hAnsi="Times New Roman"/>
          <w:b/>
          <w:sz w:val="22"/>
        </w:rPr>
        <w:t>Viehofer Platz 12</w:t>
      </w:r>
    </w:p>
    <w:p>
      <w:pPr>
        <w:spacing w:before="120" w:after="60" w:line="259" w:lineRule="auto"/>
        <w:jc w:val="left"/>
      </w:pPr>
      <w:r>
        <w:rPr>
          <w:rFonts w:ascii="Times New Roman" w:hAnsi="Times New Roman"/>
          <w:b/>
          <w:sz w:val="22"/>
        </w:rPr>
        <w:t>45127 Essen</w:t>
      </w:r>
    </w:p>
    <w:p>
      <w:pPr>
        <w:spacing w:before="120" w:after="60" w:line="259" w:lineRule="auto"/>
        <w:jc w:val="left"/>
      </w:pPr>
      <w:r>
        <w:rPr>
          <w:rFonts w:ascii="Times New Roman" w:hAnsi="Times New Roman"/>
          <w:b w:val="0"/>
          <w:i w:val="0"/>
          <w:sz w:val="22"/>
        </w:rPr>
        <w:t>Datum: 20.06.2026</w:t>
      </w:r>
    </w:p>
    <w:p>
      <w:pPr>
        <w:spacing w:line="259" w:lineRule="auto" w:after="60"/>
        <w:jc w:val="left"/>
      </w:pPr>
      <w:r>
        <w:t>Sehr geehrte Damen und Herren,</w:t>
      </w:r>
    </w:p>
    <w:p>
      <w:pPr>
        <w:spacing w:line="259" w:lineRule="auto" w:after="60"/>
        <w:jc w:val="left"/>
      </w:pPr>
      <w:r>
        <w:t>im Rahmen der Betriebsprüfung nach Paragraf 28p SGB IV für den Prüfzeitraum 01.01.2022 bis 31.03.2026 haben sich Anhaltspunkte dafür ergeben, dass für mehrere als freie Auftragnehmer geführte Kurierfahrer Versicherungspflicht in der Kranken-, Pflege-, Renten- und Arbeitslosenversicherung bestanden haben könnte. Betroffen sind insbesondere Selim Özkan, Jana Rüther, Pavel Kowalenko, Hannes Mitschke und weitere in der Anlage aufgeführte Personen.</w:t>
      </w:r>
    </w:p>
    <w:p>
      <w:pPr>
        <w:spacing w:line="259" w:lineRule="auto" w:after="60"/>
        <w:jc w:val="left"/>
      </w:pPr>
      <w:r>
        <w:t>Nach den bisher vorliegenden Unterlagen spricht für eine abhängige Beschäftigung, dass die Kurierfahrer über die Dispositions-App in feste Tourenketten eingebunden wurden, Kundenvorgaben zu Abhol- und Lieferzeiten einzuhalten hatten und bei wiederholter Ablehnung priorisierter Touren eine Herabstufung im Tourenranking erfolgen konnte. Ferner wurden Transportboxen mit Unternehmenskennzeichnung gestellt. In den Chatprotokollen finden sich Hinweise auf verbindliche Wochenenddienste und auf eine Pflicht zur sofortigen Rückmeldung an die Disposition.</w:t>
      </w:r>
    </w:p>
    <w:p>
      <w:pPr>
        <w:spacing w:line="259" w:lineRule="auto" w:after="60"/>
        <w:jc w:val="left"/>
      </w:pPr>
      <w:r>
        <w:t>Sie erhalten Gelegenheit zur Stellungnahme bis zum 17.07.2026. Bitte reichen Sie insbesondere ein: Rahmenverträge, Abrechnungen, Tourenlisten, Kommunikationsrichtlinien, Nachweise über unternehmerisches Auftreten, Angaben zu Vertretungsmöglichkeiten, Angaben zur Nutzung eigener Betriebsmittel und eine Aufstellung der seit 2024 für die genannten Personen abgeführten oder nicht abgeführten Beiträge.</w:t>
      </w:r>
    </w:p>
    <w:p>
      <w:pPr>
        <w:spacing w:line="259" w:lineRule="auto" w:after="60"/>
        <w:jc w:val="left"/>
      </w:pPr>
      <w:r>
        <w:t>Nach derzeitiger vorläufiger Berechnung kann sich für die genannten Personen ein Beitragsvolumen einschließlich Säumniszuschlägen von bis zu 248.600 EUR ergeben. Die Berechnung ist nicht abschließend. Eine endgültige Entscheidung erfolgt nach Auswertung Ihrer Stellungnahme.</w:t>
      </w:r>
    </w:p>
    <w:p>
      <w:pPr>
        <w:spacing w:line="259" w:lineRule="auto" w:after="60"/>
        <w:jc w:val="left"/>
      </w:pPr>
      <w:r>
        <w:t>Mit freundlichen Grüßen</w:t>
      </w:r>
    </w:p>
    <w:p>
      <w:pPr>
        <w:spacing w:line="259" w:lineRule="auto" w:after="60"/>
        <w:jc w:val="left"/>
      </w:pPr>
      <w:r>
        <w:t>Prüfdienst Essen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