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Entwurf Stellungnahme zur Anhörung</w:t>
      </w:r>
    </w:p>
    <w:p>
      <w:pPr>
        <w:spacing w:before="120" w:after="60" w:line="259" w:lineRule="auto"/>
        <w:jc w:val="left"/>
      </w:pPr>
      <w:r>
        <w:rPr>
          <w:rFonts w:ascii="Times New Roman" w:hAnsi="Times New Roman"/>
          <w:b/>
          <w:sz w:val="22"/>
        </w:rPr>
        <w:t>Sehr geehrte Damen und Herren,</w:t>
      </w:r>
    </w:p>
    <w:p>
      <w:pPr>
        <w:spacing w:line="259" w:lineRule="auto" w:after="60"/>
        <w:jc w:val="left"/>
      </w:pPr>
      <w:r>
        <w:t>namens und im Auftrag der RuhrKurier GmbH nehmen wir zur Anhörung vom 20.06.2026 vorläufig Stellung. Die Mandantin hält die pauschale Einordnung der genannten Kurierfahrer als abhängig Beschäftigte für nicht tragfähig. Die tatsächliche Durchführung war je nach Person und Zeitraum unterschiedlich. Eine einheitliche Statusentscheidung für alle genannten Auftragnehmer würde die Verhältnisse nicht abbilden.</w:t>
      </w:r>
    </w:p>
    <w:p>
      <w:pPr>
        <w:spacing w:line="259" w:lineRule="auto" w:after="60"/>
        <w:jc w:val="left"/>
      </w:pPr>
      <w:r>
        <w:t>Für Selim Özkan ist einzuräumen, dass sich die Zusammenarbeit ab Oktober 2025 verdichtet hat. Gleichwohl sprechen weiterhin gewichtige Umstände gegen ein klassisches Beschäftigungsverhältnis: Herr Özkan nutzte ein eigenes Fahrzeug, trug Reparatur- und Ausfallrisiken, erhielt keine Stundenvergütung, konnte Aufträge ablehnen und setzte in mehreren Fällen eine Hilfsperson ein. Die gestellte Thermobox war hygienisch und kundenschutzbezogen veranlasst. Die Rückmeldepflichten ergaben sich aus der Natur zeitkritischer Labor- und Apothekenfahrten.</w:t>
      </w:r>
    </w:p>
    <w:p>
      <w:pPr>
        <w:spacing w:line="259" w:lineRule="auto" w:after="60"/>
        <w:jc w:val="left"/>
      </w:pPr>
      <w:r>
        <w:t>Die von Ihnen zitierte Rankingmail ist nicht als arbeitsrechtliche Sanktion zu verstehen. Sie beschreibt die technische Priorisierung verfügbarer Fahrer für eilbedürftige Touren. Eine Verpflichtung zur Dienstleistung zu bestimmten Zeiten bestand nicht. Die Mandantin bittet um Akteneinsicht in die Prüfernotizen und um Mitteilung, auf welche konkreten Touren und Kommunikationsstellen die vorläufige Bewertung gestützt wird.</w:t>
      </w:r>
    </w:p>
    <w:p>
      <w:pPr>
        <w:spacing w:line="259" w:lineRule="auto" w:after="60"/>
        <w:jc w:val="left"/>
      </w:pPr>
      <w:r>
        <w:t>Hilfsweise wird beantragt, die Zeiträume vor Oktober 2025 gesondert zu betrachten und die Personen mit nur sporadischer Tätigkeit aus der vertieften Prüfung herauszunehmen. Für diese Personen fehlen tragfähige Anhaltspunkte für eine Eingliederung.</w:t>
      </w:r>
    </w:p>
    <w:p>
      <w:pPr>
        <w:spacing w:line="259" w:lineRule="auto" w:after="60"/>
        <w:jc w:val="left"/>
      </w:pPr>
      <w:r>
        <w:t>Vor einer abschließenden Entscheidung wird um einen Erörterungstermin gebeten.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