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160" w:line="259" w:lineRule="auto"/>
      </w:pPr>
      <w:r>
        <w:rPr>
          <w:rFonts w:ascii="Times New Roman" w:hAnsi="Times New Roman"/>
          <w:b/>
          <w:sz w:val="28"/>
        </w:rPr>
        <w:t>Klageraster bei belastendem Statusbescheid</w:t>
      </w:r>
    </w:p>
    <w:p>
      <w:pPr>
        <w:pStyle w:val="ListNumber"/>
        <w:spacing w:line="259" w:lineRule="auto" w:after="60"/>
      </w:pPr>
      <w:r>
        <w:t>Zulässigkeit prüfen: Bescheid, Bekanntgabe, Widerspruchsbescheid, Klagefrist nach Paragraf 87 SGG, richtiger Beklagter, örtliche Zuständigkeit des Sozialgerichts.</w:t>
      </w:r>
    </w:p>
    <w:p>
      <w:pPr>
        <w:pStyle w:val="ListNumber"/>
        <w:spacing w:line="259" w:lineRule="auto" w:after="60"/>
      </w:pPr>
      <w:r>
        <w:t>Streitgegenstand trennen: Status Selim Özkan, Status weiterer Fahrer, Beitragsnachforderung, Säumniszuschläge, Zeitraum.</w:t>
      </w:r>
    </w:p>
    <w:p>
      <w:pPr>
        <w:pStyle w:val="ListNumber"/>
        <w:spacing w:line="259" w:lineRule="auto" w:after="60"/>
      </w:pPr>
      <w:r>
        <w:t>Tatsachenbeweis: App-Logs vollständig sichern, Chatverläufe nicht nur auszugsweise, Gutschriften, Reparaturrechnungen, Nachweise anderer Auftraggeber, Benennung der Hilfsperson Emre Yildiz.</w:t>
      </w:r>
    </w:p>
    <w:p>
      <w:pPr>
        <w:pStyle w:val="ListNumber"/>
        <w:spacing w:line="259" w:lineRule="auto" w:after="60"/>
      </w:pPr>
      <w:r>
        <w:t>Materielle Linie: Gesamtwürdigung nach tatsächlicher Durchführung; keine schematische Ableitung aus App-Nutzung; sachliche Qualitätsvorgaben von persönlicher Weisungsunterworfenheit trennen.</w:t>
      </w:r>
    </w:p>
    <w:p>
      <w:pPr>
        <w:pStyle w:val="ListNumber"/>
        <w:spacing w:line="259" w:lineRule="auto" w:after="60"/>
      </w:pPr>
      <w:r>
        <w:t>Hilfsanträge: Zeitraumbegrenzung, Personenbegrenzung, Ermessens- und Berechnungsfehler, getrennte Entscheidung über Säumniszuschläge.</w:t>
      </w:r>
    </w:p>
    <w:p>
      <w:pPr>
        <w:spacing w:line="259" w:lineRule="auto" w:after="60"/>
        <w:jc w:val="left"/>
      </w:pPr>
      <w:r>
        <w:t>Beweisfragen an Selim Özkan: Wer entschied über Arbeitszeiten? Welche Aufträge wurden abgelehnt? Wer trug Reparaturen? Welche anderen Auftraggeber gab es? Wurde Urlaub gemeldet oder nur nicht gefahren? Welche Folgen hatte ein niedrigeres Ranking tatsächlich?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91" w:right="1247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/>
    <w:r>
      <w:rPr>
        <w:rFonts w:ascii="Times New Roman" w:hAnsi="Times New Roman"/>
        <w:b w:val="0"/>
        <w:color w:val="777777"/>
        <w:sz w:val="17"/>
      </w:rPr>
      <w:t>Vertraulich | Bearbeitungsstand Juli 2026 | nur zur Aktenbearbeitung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 w:val="0"/>
        <w:i w:val="0"/>
        <w:color w:val="666666"/>
        <w:sz w:val="17"/>
      </w:rPr>
      <w:t>Rentenberatung Jessen &amp; Kollegium | Renten- und Versorgungsakte | Bearbeitungsstand Juli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