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Standmitteilung der Direktversicherung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Hannoversche Vorsorge AG, Georgstraße 45, 30159 Hannover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Versicherungsnummer: DV-2004-77182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15.04.2026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Frau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Dagmar Ellersen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Voltmerstraße 21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30165 Hannover</w:t>
      </w:r>
    </w:p>
    <w:p>
      <w:pPr>
        <w:spacing w:line="259" w:lineRule="auto" w:after="60"/>
        <w:jc w:val="left"/>
      </w:pPr>
      <w:r>
        <w:t>Betreff: Ihre Direktversicherung – jährliche Standmitteilung zum 01.04.2026</w:t>
      </w:r>
    </w:p>
    <w:p>
      <w:pPr>
        <w:spacing w:line="259" w:lineRule="auto" w:after="60"/>
        <w:jc w:val="left"/>
      </w:pPr>
      <w:r>
        <w:t>Sehr geehrte Frau Ellersen,</w:t>
      </w:r>
    </w:p>
    <w:p>
      <w:pPr>
        <w:spacing w:line="259" w:lineRule="auto" w:after="60"/>
        <w:jc w:val="left"/>
      </w:pPr>
      <w:r>
        <w:t>wir informieren Sie über den Stand Ihrer betrieblichen Altersversorgung. Versicherungsnehmerin ist die Nordstadt Klinikum Service GmbH; versicherte und bezugsberechtigte Person sind Sie.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Vertragsdaten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01.10.2004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Vereinbarter Rentenbeginn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01.12.2029 (flexibler Abruf zwischen 01.12.2027 und 01.12.2031 möglich)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Laufender Monatsbeitrag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115,00 EUR (100,00 EUR Entgeltumwandlung, 15,00 EUR Arbeitgeberzuschuss)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Leistungswerte zum 01.04.2026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Garantiert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Einschließlich nicht garantierter Überschüsse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Lebenslange Monatsrente ab 01.12.2029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189,30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213,40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Einmalige Kapitalzahlung zum 01.12.2029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54.780,00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61.900,00 EUR</w:t>
            </w:r>
          </w:p>
        </w:tc>
      </w:tr>
    </w:tbl>
    <w:p>
      <w:pPr>
        <w:spacing w:line="259" w:lineRule="auto" w:after="60"/>
        <w:jc w:val="left"/>
      </w:pPr>
      <w:r>
        <w:t>Die Überschussbeteiligung ist nicht garantiert und kann sinken. Bei einem früheren oder späteren Abruf verändern sich die Werte; eine Berechnung für einen abweichenden Abruftermin erstellen wir auf Anfrage.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Kapitalwahlrecht</w:t>
      </w:r>
    </w:p>
    <w:p>
      <w:pPr>
        <w:spacing w:line="259" w:lineRule="auto" w:after="60"/>
        <w:jc w:val="left"/>
      </w:pPr>
      <w:r>
        <w:t>Anstelle der lebenslangen Rente können Sie die einmalige Kapitalzahlung wählen. Die Kapitalwahl ist uns spätestens sechs Monate vor dem Abruftermin in Textform zu erklären; danach ist sie für diesen Termin ausgeschlossen. Bitte beachten Sie, dass Kapitalzahlung und Rente steuerlich und in der Sozialversicherung unterschiedlich behandelt werden; hierzu dürfen wir keine Beratung erbringen.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Hinweis zur Todesfallleistung</w:t>
      </w:r>
    </w:p>
    <w:p>
      <w:pPr>
        <w:spacing w:line="259" w:lineRule="auto" w:after="60"/>
        <w:jc w:val="left"/>
      </w:pPr>
      <w:r>
        <w:t>Bei Tod vor Rentenbeginn wird das vorhandene Deckungskapital an die nach der Versorgungsordnung zulässigen Hinterbliebenen gezahlt; bei Tod nach Rentenbeginn besteht eine Rentengarantiezeit von zehn Jahren.</w:t>
      </w:r>
    </w:p>
    <w:p>
      <w:pPr>
        <w:spacing w:line="259" w:lineRule="auto" w:after="60"/>
        <w:jc w:val="left"/>
      </w:pPr>
      <w:r>
        <w:t>Eine Aufschlüsselung der eingezahlten Beiträge, der Abschluss- und Verwaltungskosten sowie der Überschussanteile ist in dieser Standmitteilung nicht enthalten.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Hannoversche Vorsorge AG</w:t>
      </w:r>
    </w:p>
    <w:p>
      <w:pPr>
        <w:spacing w:line="259" w:lineRule="auto" w:after="60"/>
        <w:jc w:val="left"/>
      </w:pPr>
      <w:r>
        <w:t>Bestandsservice betriebliche Altersversorgung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