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Anfrage der Rentenberatung an die private Rentenversicherung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Rentenberatung Albrecht &amp; Weiß, Podbielskistraße 158, 30177 Hannover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Unser Zeichen: EL-2026-58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18.06.2026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Leine-Leben Versicherung AG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Kundenservice Leben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Osterstraße 64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30159 Hannover</w:t>
      </w:r>
    </w:p>
    <w:p>
      <w:pPr>
        <w:spacing w:line="259" w:lineRule="auto" w:after="60"/>
        <w:jc w:val="left"/>
      </w:pPr>
      <w:r>
        <w:t>Betreff: Rentenversicherung Nr. PR-1998-4421, Versicherungsnehmerin Dagmar Ellersen – Auskunftsersuchen; Vollmacht anbei</w:t>
      </w:r>
    </w:p>
    <w:p>
      <w:pPr>
        <w:spacing w:line="259" w:lineRule="auto" w:after="60"/>
        <w:jc w:val="left"/>
      </w:pPr>
      <w:r>
        <w:t>Sehr geehrte Damen und Herren,</w:t>
      </w:r>
    </w:p>
    <w:p>
      <w:pPr>
        <w:spacing w:line="259" w:lineRule="auto" w:after="60"/>
        <w:jc w:val="left"/>
      </w:pPr>
      <w:r>
        <w:t>wir vertreten Frau Dagmar Ellersen; eine Vollmacht ist beigefügt. Die Wertmitteilung vom 20.05.2026 lässt mehrere für die Ruhestandsplanung entscheidende Punkte offen. Wir bitten deshalb um folgende Auskünfte:</w:t>
      </w:r>
    </w:p>
    <w:p>
      <w:pPr>
        <w:pStyle w:val="ListNumber"/>
        <w:spacing w:line="259" w:lineRule="auto" w:after="60"/>
      </w:pPr>
      <w:r>
        <w:t>Den vertraglich garantierten Rentenfaktor je 10.000 EUR Vertragsguthaben zum Rentenbeginn sowie den derzeit deklarierten Rentenfaktor, jeweils mit Angabe, ob und wie eine Herabsetzung möglich ist.</w:t>
      </w:r>
    </w:p>
    <w:p>
      <w:pPr>
        <w:pStyle w:val="ListNumber"/>
        <w:spacing w:line="259" w:lineRule="auto" w:after="60"/>
      </w:pPr>
      <w:r>
        <w:t>Die genauen Grenzen des Abruffensters (frühester und spätester Rentenbeginn) und die Werte bei Verschiebung des Rentenbeginns auf den 01.12.2027 und den 01.12.2031.</w:t>
      </w:r>
    </w:p>
    <w:p>
      <w:pPr>
        <w:pStyle w:val="ListNumber"/>
        <w:spacing w:line="259" w:lineRule="auto" w:after="60"/>
      </w:pPr>
      <w:r>
        <w:t>Die Bedingungen und Fristen des Kapitalwahlrechts nach der Bedingungsfassung 1998 sowie den voraussichtlichen Kapitalbetrag zum vereinbarten Rentenbeginn.</w:t>
      </w:r>
    </w:p>
    <w:p>
      <w:pPr>
        <w:pStyle w:val="ListNumber"/>
        <w:spacing w:line="259" w:lineRule="auto" w:after="60"/>
      </w:pPr>
      <w:r>
        <w:t>Die Höhe der Todesfallleistung vor Rentenbeginn und die Ausgestaltung in der Rentenphase (Rentengarantiezeit oder Restkapitalzahlung).</w:t>
      </w:r>
    </w:p>
    <w:p>
      <w:pPr>
        <w:pStyle w:val="ListNumber"/>
        <w:spacing w:line="259" w:lineRule="auto" w:after="60"/>
      </w:pPr>
      <w:r>
        <w:t>Den vollständigen Wortlaut der gespeicherten Bezugsrechtsbestimmung aus dem Antrag vom November 1998.</w:t>
      </w:r>
    </w:p>
    <w:p>
      <w:pPr>
        <w:spacing w:line="259" w:lineRule="auto" w:after="60"/>
        <w:jc w:val="left"/>
      </w:pPr>
      <w:r>
        <w:t>Hintergrund der letzten Frage: Die Mandantin kann nicht mehr sagen, wen sie 1998 als bezugsberechtigt eingesetzt hat; eine Aktualisierung soll gegebenenfalls zeitnah erfolgen.</w:t>
      </w:r>
    </w:p>
    <w:p>
      <w:pPr>
        <w:spacing w:line="259" w:lineRule="auto" w:after="60"/>
        <w:jc w:val="left"/>
      </w:pPr>
      <w:r>
        <w:t>Um Beantwortung bis zum 31.07.2026 wird gebeten.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Christiane Albrecht</w:t>
      </w:r>
    </w:p>
    <w:p>
      <w:pPr>
        <w:spacing w:line="259" w:lineRule="auto" w:after="60"/>
        <w:jc w:val="left"/>
      </w:pPr>
      <w:r>
        <w:t>Rentenberaterin</w:t>
      </w:r>
    </w:p>
    <w:p>
      <w:pPr>
        <w:spacing w:line="259" w:lineRule="auto" w:after="60"/>
        <w:jc w:val="left"/>
      </w:pPr>
      <w:r>
        <w:t>Anlage: Vollmacht vom 15.06.2026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Rentenberatung Jessen &amp; Kollegium | Renten- und Versorgungsakte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