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Rentenberatung Jessen &amp; Kollegium | Aktenzeichen intern 2026-RNT-7720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Versorgungsordnung Auszug</w:t>
      </w:r>
    </w:p>
    <w:p>
      <w:pPr>
        <w:spacing w:line="259" w:lineRule="auto" w:after="60"/>
        <w:jc w:val="both"/>
      </w:pPr>
      <w:r>
        <w:t>Die Versorgungsordnung garantiert eine monatliche Betriebsrente aus Entgeltpunkten des Versorgungstarifs. Die Durchführung erfolgt über die Rhein-Main Pensionskasse VVaG.</w:t>
      </w:r>
    </w:p>
    <w:p>
      <w:pPr>
        <w:spacing w:line="259" w:lineRule="auto" w:after="60"/>
        <w:jc w:val="both"/>
      </w:pPr>
      <w:r>
        <w:t>Eine Klausel stellt klar, dass die Arbeitgeberzusage durch den Durchführungsweg nicht berührt wird.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Rentenberatung Jessen &amp; Kollegium | Renten- und Versorgungsakte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