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2026-RNT-4599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Ablehnungsbescheid DRV</w:t>
      </w:r>
    </w:p>
    <w:p>
      <w:pPr>
        <w:spacing w:line="259" w:lineRule="auto" w:after="60"/>
        <w:jc w:val="both"/>
      </w:pPr>
      <w:r>
        <w:t>Die DRV lehnt ab. Es bestehe Leistungsvermögen für leichte Tätigkeiten über sechs Stunden täglich. Synkopen seien selten; die zuletzt beobachtete Gehstrecke sei ausreichend.</w:t>
      </w:r>
    </w:p>
    <w:p>
      <w:pPr>
        <w:spacing w:line="259" w:lineRule="auto" w:after="60"/>
        <w:jc w:val="both"/>
      </w:pPr>
      <w:r>
        <w:t>Die Begründung nennt keine konkrete Verweisungstätigkeit und behandelt Crash-Tage nur als subjektive Angaben.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