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2026-RNT-8852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Widerspruch Entwurf</w:t>
      </w:r>
    </w:p>
    <w:p>
      <w:pPr>
        <w:spacing w:line="259" w:lineRule="auto" w:after="60"/>
        <w:jc w:val="both"/>
      </w:pPr>
      <w:r>
        <w:t>Der Entwurf greift Tagesformbegutachtung, fehlende Summierung ungewöhnlicher Leistungseinschränkungen und das Zusammenspiel aus POTS, Fatigue und kognitiver Verlangsamung auf.</w:t>
      </w:r>
    </w:p>
    <w:p>
      <w:pPr>
        <w:spacing w:line="259" w:lineRule="auto" w:after="60"/>
        <w:jc w:val="both"/>
      </w:pPr>
      <w:r>
        <w:t>Offen sind noch Akteneinsicht, konkrete Reha-Fundstellen und ergänzende Arbeitgeberauskunft.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