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Klagevorbereitung Sozialgericht</w:t>
      </w:r>
    </w:p>
    <w:p>
      <w:pPr>
        <w:spacing w:line="259" w:lineRule="auto" w:after="60"/>
        <w:jc w:val="left"/>
      </w:pPr>
      <w:r>
        <w:t>Falls der Widerspruchsbescheid die Ablehnung bestätigt, soll die Klage nicht nur Diagnosen wiederholen. Der Klagekern muss die Lücke zwischen Reha-Formel und tatsächlichem Arbeitsmarkt herausarbeiten: sechs Stunden nur bei idealer Wechselhaltung, zusätzlichen Pausen, fehlendem Takt, fehlendem Publikumsdruck und stabiler psychischer Lage. Gerade diese Bedingungen sind nicht selbstverständlich.</w:t>
      </w:r>
    </w:p>
    <w:p>
      <w:pPr>
        <w:spacing w:line="259" w:lineRule="auto" w:after="60"/>
        <w:jc w:val="left"/>
      </w:pPr>
      <w:r>
        <w:t>Mögliche Klageanträge: Aufhebung des Bescheids in Gestalt des Widerspruchsbescheids und Verurteilung zur Gewährung einer Rente wegen voller, hilfsweise teilweiser Erwerbsminderung ab 01.04.2026. Hilfsweise Einholung eines orthopädisch-psychiatrischen Sachverständigengutachtens.</w:t>
      </w:r>
    </w:p>
    <w:p>
      <w:pPr>
        <w:spacing w:line="259" w:lineRule="auto" w:after="60"/>
        <w:jc w:val="left"/>
      </w:pPr>
      <w:r>
        <w:t>Beweismittel: behandelnde Ärzte als sachverständige Zeugen, Arbeitgeberbeschreibung, Tagesprotokoll, Reha-Unterlagen, Medikamentenplan. Zusätzlich prüfen: Nahtlosigkeit, Krankengeldende, Antrag auf Leistungen zur Teilhabe, Schwerbehindertenverfahren.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