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Bundeseinheitlicher Medikationsplan (Übertrag)</w:t>
      </w:r>
    </w:p>
    <w:p>
      <w:pPr>
        <w:spacing w:before="120" w:after="60" w:line="259" w:lineRule="auto"/>
        <w:jc w:val="left"/>
      </w:pPr>
      <w:r>
        <w:rPr>
          <w:rFonts w:ascii="Times New Roman" w:hAnsi="Times New Roman"/>
          <w:b/>
          <w:sz w:val="22"/>
        </w:rPr>
        <w:t>Ausgedruckt von: Hausarztpraxis Dr. med. Katrin Ohlemacher</w:t>
      </w:r>
    </w:p>
    <w:p>
      <w:pPr>
        <w:spacing w:before="120" w:after="60" w:line="259" w:lineRule="auto"/>
        <w:jc w:val="left"/>
      </w:pPr>
      <w:r>
        <w:rPr>
          <w:rFonts w:ascii="Times New Roman" w:hAnsi="Times New Roman"/>
          <w:b/>
          <w:sz w:val="22"/>
        </w:rPr>
        <w:t>Allgemeinmedizin, Bettenhäuser Straße 78, 34123 Kassel</w:t>
      </w:r>
    </w:p>
    <w:p>
      <w:pPr>
        <w:spacing w:before="120" w:after="60" w:line="259" w:lineRule="auto"/>
        <w:jc w:val="left"/>
      </w:pPr>
      <w:r>
        <w:rPr>
          <w:rFonts w:ascii="Times New Roman" w:hAnsi="Times New Roman"/>
          <w:b/>
          <w:sz w:val="22"/>
        </w:rPr>
        <w:t>Telefon: 0561 57012-3</w:t>
      </w:r>
    </w:p>
    <w:p>
      <w:pPr>
        <w:spacing w:before="120" w:after="60" w:line="259" w:lineRule="auto"/>
        <w:jc w:val="left"/>
      </w:pPr>
      <w:r>
        <w:rPr>
          <w:rFonts w:ascii="Times New Roman" w:hAnsi="Times New Roman"/>
          <w:b/>
          <w:sz w:val="22"/>
        </w:rPr>
        <w:t>Patientin: Sabine Krüger, geboren am 14.02.1971</w:t>
      </w:r>
    </w:p>
    <w:p>
      <w:pPr>
        <w:spacing w:before="120" w:after="60" w:line="259" w:lineRule="auto"/>
        <w:jc w:val="left"/>
      </w:pPr>
      <w:r>
        <w:rPr>
          <w:rFonts w:ascii="Times New Roman" w:hAnsi="Times New Roman"/>
          <w:b/>
          <w:sz w:val="22"/>
        </w:rPr>
        <w:t>Stand: 22.06.2026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Wirkstoff</w:t>
            </w:r>
          </w:p>
        </w:tc>
        <w:tc>
          <w:tcPr>
            <w:tcW w:type="dxa" w:w="1814"/>
          </w:tcPr>
          <w:p>
            <w:r>
              <w:rPr>
                <w:rFonts w:ascii="Times New Roman" w:hAnsi="Times New Roman"/>
                <w:b/>
                <w:sz w:val="20"/>
              </w:rPr>
              <w:t>Handelsname</w:t>
            </w:r>
          </w:p>
        </w:tc>
        <w:tc>
          <w:tcPr>
            <w:tcW w:type="dxa" w:w="1814"/>
          </w:tcPr>
          <w:p>
            <w:r>
              <w:rPr>
                <w:rFonts w:ascii="Times New Roman" w:hAnsi="Times New Roman"/>
                <w:b/>
                <w:sz w:val="20"/>
              </w:rPr>
              <w:t>Stärke</w:t>
            </w:r>
          </w:p>
        </w:tc>
        <w:tc>
          <w:tcPr>
            <w:tcW w:type="dxa" w:w="1814"/>
          </w:tcPr>
          <w:p>
            <w:r>
              <w:rPr>
                <w:rFonts w:ascii="Times New Roman" w:hAnsi="Times New Roman"/>
                <w:b/>
                <w:sz w:val="20"/>
              </w:rPr>
              <w:t>Einnahme</w:t>
            </w:r>
          </w:p>
        </w:tc>
        <w:tc>
          <w:tcPr>
            <w:tcW w:type="dxa" w:w="1814"/>
          </w:tcPr>
          <w:p>
            <w:r>
              <w:rPr>
                <w:rFonts w:ascii="Times New Roman" w:hAnsi="Times New Roman"/>
                <w:b/>
                <w:sz w:val="20"/>
              </w:rPr>
              <w:t>Hinweis</w:t>
            </w:r>
          </w:p>
        </w:tc>
      </w:tr>
      <w:tr>
        <w:tc>
          <w:tcPr>
            <w:tcW w:type="dxa" w:w="1814"/>
          </w:tcPr>
          <w:p>
            <w:r>
              <w:rPr>
                <w:rFonts w:ascii="Times New Roman" w:hAnsi="Times New Roman"/>
                <w:sz w:val="20"/>
              </w:rPr>
              <w:t>Metamizol</w:t>
            </w:r>
          </w:p>
        </w:tc>
        <w:tc>
          <w:tcPr>
            <w:tcW w:type="dxa" w:w="1814"/>
          </w:tcPr>
          <w:p>
            <w:r>
              <w:rPr>
                <w:rFonts w:ascii="Times New Roman" w:hAnsi="Times New Roman"/>
                <w:sz w:val="20"/>
              </w:rPr>
              <w:t>Novaminsulfon</w:t>
            </w:r>
          </w:p>
        </w:tc>
        <w:tc>
          <w:tcPr>
            <w:tcW w:type="dxa" w:w="1814"/>
          </w:tcPr>
          <w:p>
            <w:r>
              <w:rPr>
                <w:rFonts w:ascii="Times New Roman" w:hAnsi="Times New Roman"/>
                <w:sz w:val="20"/>
              </w:rPr>
              <w:t>500 mg</w:t>
            </w:r>
          </w:p>
        </w:tc>
        <w:tc>
          <w:tcPr>
            <w:tcW w:type="dxa" w:w="1814"/>
          </w:tcPr>
          <w:p>
            <w:r>
              <w:rPr>
                <w:rFonts w:ascii="Times New Roman" w:hAnsi="Times New Roman"/>
                <w:sz w:val="20"/>
              </w:rPr>
              <w:t>1-1-1-1 bei Bedarf, max. 4x täglich</w:t>
            </w:r>
          </w:p>
        </w:tc>
        <w:tc>
          <w:tcPr>
            <w:tcW w:type="dxa" w:w="1814"/>
          </w:tcPr>
          <w:p>
            <w:r>
              <w:rPr>
                <w:rFonts w:ascii="Times New Roman" w:hAnsi="Times New Roman"/>
                <w:sz w:val="20"/>
              </w:rPr>
              <w:t>bei Schmerzspitzen</w:t>
            </w:r>
          </w:p>
        </w:tc>
      </w:tr>
      <w:tr>
        <w:tc>
          <w:tcPr>
            <w:tcW w:type="dxa" w:w="1814"/>
          </w:tcPr>
          <w:p>
            <w:r>
              <w:rPr>
                <w:rFonts w:ascii="Times New Roman" w:hAnsi="Times New Roman"/>
                <w:sz w:val="20"/>
              </w:rPr>
              <w:t>Ibuprofen</w:t>
            </w:r>
          </w:p>
        </w:tc>
        <w:tc>
          <w:tcPr>
            <w:tcW w:type="dxa" w:w="1814"/>
          </w:tcPr>
          <w:p>
            <w:r>
              <w:rPr>
                <w:rFonts w:ascii="Times New Roman" w:hAnsi="Times New Roman"/>
                <w:sz w:val="20"/>
              </w:rPr>
              <w:t>Ibuflam</w:t>
            </w:r>
          </w:p>
        </w:tc>
        <w:tc>
          <w:tcPr>
            <w:tcW w:type="dxa" w:w="1814"/>
          </w:tcPr>
          <w:p>
            <w:r>
              <w:rPr>
                <w:rFonts w:ascii="Times New Roman" w:hAnsi="Times New Roman"/>
                <w:sz w:val="20"/>
              </w:rPr>
              <w:t>600 mg</w:t>
            </w:r>
          </w:p>
        </w:tc>
        <w:tc>
          <w:tcPr>
            <w:tcW w:type="dxa" w:w="1814"/>
          </w:tcPr>
          <w:p>
            <w:r>
              <w:rPr>
                <w:rFonts w:ascii="Times New Roman" w:hAnsi="Times New Roman"/>
                <w:sz w:val="20"/>
              </w:rPr>
              <w:t>1-0-1</w:t>
            </w:r>
          </w:p>
        </w:tc>
        <w:tc>
          <w:tcPr>
            <w:tcW w:type="dxa" w:w="1814"/>
          </w:tcPr>
          <w:p>
            <w:r>
              <w:rPr>
                <w:rFonts w:ascii="Times New Roman" w:hAnsi="Times New Roman"/>
                <w:sz w:val="20"/>
              </w:rPr>
              <w:t>zu den Mahlzeiten, mit Magenschutz</w:t>
            </w:r>
          </w:p>
        </w:tc>
      </w:tr>
      <w:tr>
        <w:tc>
          <w:tcPr>
            <w:tcW w:type="dxa" w:w="1814"/>
          </w:tcPr>
          <w:p>
            <w:r>
              <w:rPr>
                <w:rFonts w:ascii="Times New Roman" w:hAnsi="Times New Roman"/>
                <w:sz w:val="20"/>
              </w:rPr>
              <w:t>Pantoprazol</w:t>
            </w:r>
          </w:p>
        </w:tc>
        <w:tc>
          <w:tcPr>
            <w:tcW w:type="dxa" w:w="1814"/>
          </w:tcPr>
          <w:p>
            <w:r>
              <w:rPr>
                <w:rFonts w:ascii="Times New Roman" w:hAnsi="Times New Roman"/>
                <w:sz w:val="20"/>
              </w:rPr>
              <w:t>Pantoprazol</w:t>
            </w:r>
          </w:p>
        </w:tc>
        <w:tc>
          <w:tcPr>
            <w:tcW w:type="dxa" w:w="1814"/>
          </w:tcPr>
          <w:p>
            <w:r>
              <w:rPr>
                <w:rFonts w:ascii="Times New Roman" w:hAnsi="Times New Roman"/>
                <w:sz w:val="20"/>
              </w:rPr>
              <w:t>40 mg</w:t>
            </w:r>
          </w:p>
        </w:tc>
        <w:tc>
          <w:tcPr>
            <w:tcW w:type="dxa" w:w="1814"/>
          </w:tcPr>
          <w:p>
            <w:r>
              <w:rPr>
                <w:rFonts w:ascii="Times New Roman" w:hAnsi="Times New Roman"/>
                <w:sz w:val="20"/>
              </w:rPr>
              <w:t>1-0-0</w:t>
            </w:r>
          </w:p>
        </w:tc>
        <w:tc>
          <w:tcPr>
            <w:tcW w:type="dxa" w:w="1814"/>
          </w:tcPr>
          <w:p>
            <w:r>
              <w:rPr>
                <w:rFonts w:ascii="Times New Roman" w:hAnsi="Times New Roman"/>
                <w:sz w:val="20"/>
              </w:rPr>
              <w:t>Magenschutz</w:t>
            </w:r>
          </w:p>
        </w:tc>
      </w:tr>
      <w:tr>
        <w:tc>
          <w:tcPr>
            <w:tcW w:type="dxa" w:w="1814"/>
          </w:tcPr>
          <w:p>
            <w:r>
              <w:rPr>
                <w:rFonts w:ascii="Times New Roman" w:hAnsi="Times New Roman"/>
                <w:sz w:val="20"/>
              </w:rPr>
              <w:t>Pregabalin</w:t>
            </w:r>
          </w:p>
        </w:tc>
        <w:tc>
          <w:tcPr>
            <w:tcW w:type="dxa" w:w="1814"/>
          </w:tcPr>
          <w:p>
            <w:r>
              <w:rPr>
                <w:rFonts w:ascii="Times New Roman" w:hAnsi="Times New Roman"/>
                <w:sz w:val="20"/>
              </w:rPr>
              <w:t>Pregabalin</w:t>
            </w:r>
          </w:p>
        </w:tc>
        <w:tc>
          <w:tcPr>
            <w:tcW w:type="dxa" w:w="1814"/>
          </w:tcPr>
          <w:p>
            <w:r>
              <w:rPr>
                <w:rFonts w:ascii="Times New Roman" w:hAnsi="Times New Roman"/>
                <w:sz w:val="20"/>
              </w:rPr>
              <w:t>75 mg</w:t>
            </w:r>
          </w:p>
        </w:tc>
        <w:tc>
          <w:tcPr>
            <w:tcW w:type="dxa" w:w="1814"/>
          </w:tcPr>
          <w:p>
            <w:r>
              <w:rPr>
                <w:rFonts w:ascii="Times New Roman" w:hAnsi="Times New Roman"/>
                <w:sz w:val="20"/>
              </w:rPr>
              <w:t>1-0-1</w:t>
            </w:r>
          </w:p>
        </w:tc>
        <w:tc>
          <w:tcPr>
            <w:tcW w:type="dxa" w:w="1814"/>
          </w:tcPr>
          <w:p>
            <w:r>
              <w:rPr>
                <w:rFonts w:ascii="Times New Roman" w:hAnsi="Times New Roman"/>
                <w:sz w:val="20"/>
              </w:rPr>
              <w:t>seit 04/2026, gegen ausstrahlende Schmerzen; macht nach Angabe der Patientin "wattig im Kopf"</w:t>
            </w:r>
          </w:p>
        </w:tc>
      </w:tr>
      <w:tr>
        <w:tc>
          <w:tcPr>
            <w:tcW w:type="dxa" w:w="1814"/>
          </w:tcPr>
          <w:p>
            <w:r>
              <w:rPr>
                <w:rFonts w:ascii="Times New Roman" w:hAnsi="Times New Roman"/>
                <w:sz w:val="20"/>
              </w:rPr>
              <w:t>Sertralin</w:t>
            </w:r>
          </w:p>
        </w:tc>
        <w:tc>
          <w:tcPr>
            <w:tcW w:type="dxa" w:w="1814"/>
          </w:tcPr>
          <w:p>
            <w:r>
              <w:rPr>
                <w:rFonts w:ascii="Times New Roman" w:hAnsi="Times New Roman"/>
                <w:sz w:val="20"/>
              </w:rPr>
              <w:t>Sertralin</w:t>
            </w:r>
          </w:p>
        </w:tc>
        <w:tc>
          <w:tcPr>
            <w:tcW w:type="dxa" w:w="1814"/>
          </w:tcPr>
          <w:p>
            <w:r>
              <w:rPr>
                <w:rFonts w:ascii="Times New Roman" w:hAnsi="Times New Roman"/>
                <w:sz w:val="20"/>
              </w:rPr>
              <w:t>100 mg</w:t>
            </w:r>
          </w:p>
        </w:tc>
        <w:tc>
          <w:tcPr>
            <w:tcW w:type="dxa" w:w="1814"/>
          </w:tcPr>
          <w:p>
            <w:r>
              <w:rPr>
                <w:rFonts w:ascii="Times New Roman" w:hAnsi="Times New Roman"/>
                <w:sz w:val="20"/>
              </w:rPr>
              <w:t>1-0-0</w:t>
            </w:r>
          </w:p>
        </w:tc>
        <w:tc>
          <w:tcPr>
            <w:tcW w:type="dxa" w:w="1814"/>
          </w:tcPr>
          <w:p>
            <w:r>
              <w:rPr>
                <w:rFonts w:ascii="Times New Roman" w:hAnsi="Times New Roman"/>
                <w:sz w:val="20"/>
              </w:rPr>
              <w:t>seit 02/2026, Verordnung in Abstimmung mit Psychotherapie</w:t>
            </w:r>
          </w:p>
        </w:tc>
      </w:tr>
      <w:tr>
        <w:tc>
          <w:tcPr>
            <w:tcW w:type="dxa" w:w="1814"/>
          </w:tcPr>
          <w:p>
            <w:r>
              <w:rPr>
                <w:rFonts w:ascii="Times New Roman" w:hAnsi="Times New Roman"/>
                <w:sz w:val="20"/>
              </w:rPr>
              <w:t>Ramipril</w:t>
            </w:r>
          </w:p>
        </w:tc>
        <w:tc>
          <w:tcPr>
            <w:tcW w:type="dxa" w:w="1814"/>
          </w:tcPr>
          <w:p>
            <w:r>
              <w:rPr>
                <w:rFonts w:ascii="Times New Roman" w:hAnsi="Times New Roman"/>
                <w:sz w:val="20"/>
              </w:rPr>
              <w:t>Ramipril</w:t>
            </w:r>
          </w:p>
        </w:tc>
        <w:tc>
          <w:tcPr>
            <w:tcW w:type="dxa" w:w="1814"/>
          </w:tcPr>
          <w:p>
            <w:r>
              <w:rPr>
                <w:rFonts w:ascii="Times New Roman" w:hAnsi="Times New Roman"/>
                <w:sz w:val="20"/>
              </w:rPr>
              <w:t>5 mg</w:t>
            </w:r>
          </w:p>
        </w:tc>
        <w:tc>
          <w:tcPr>
            <w:tcW w:type="dxa" w:w="1814"/>
          </w:tcPr>
          <w:p>
            <w:r>
              <w:rPr>
                <w:rFonts w:ascii="Times New Roman" w:hAnsi="Times New Roman"/>
                <w:sz w:val="20"/>
              </w:rPr>
              <w:t>1-0-0</w:t>
            </w:r>
          </w:p>
        </w:tc>
        <w:tc>
          <w:tcPr>
            <w:tcW w:type="dxa" w:w="1814"/>
          </w:tcPr>
          <w:p>
            <w:r>
              <w:rPr>
                <w:rFonts w:ascii="Times New Roman" w:hAnsi="Times New Roman"/>
                <w:sz w:val="20"/>
              </w:rPr>
              <w:t>Blutdruck</w:t>
            </w:r>
          </w:p>
        </w:tc>
      </w:tr>
      <w:tr>
        <w:tc>
          <w:tcPr>
            <w:tcW w:type="dxa" w:w="1814"/>
          </w:tcPr>
          <w:p>
            <w:r>
              <w:rPr>
                <w:rFonts w:ascii="Times New Roman" w:hAnsi="Times New Roman"/>
                <w:sz w:val="20"/>
              </w:rPr>
              <w:t>Zopiclon</w:t>
            </w:r>
          </w:p>
        </w:tc>
        <w:tc>
          <w:tcPr>
            <w:tcW w:type="dxa" w:w="1814"/>
          </w:tcPr>
          <w:p>
            <w:r>
              <w:rPr>
                <w:rFonts w:ascii="Times New Roman" w:hAnsi="Times New Roman"/>
                <w:sz w:val="20"/>
              </w:rPr>
              <w:t>Zopiclon</w:t>
            </w:r>
          </w:p>
        </w:tc>
        <w:tc>
          <w:tcPr>
            <w:tcW w:type="dxa" w:w="1814"/>
          </w:tcPr>
          <w:p>
            <w:r>
              <w:rPr>
                <w:rFonts w:ascii="Times New Roman" w:hAnsi="Times New Roman"/>
                <w:sz w:val="20"/>
              </w:rPr>
              <w:t>7,5 mg</w:t>
            </w:r>
          </w:p>
        </w:tc>
        <w:tc>
          <w:tcPr>
            <w:tcW w:type="dxa" w:w="1814"/>
          </w:tcPr>
          <w:p>
            <w:r>
              <w:rPr>
                <w:rFonts w:ascii="Times New Roman" w:hAnsi="Times New Roman"/>
                <w:sz w:val="20"/>
              </w:rPr>
              <w:t>0-0-0-1/2 bei Bedarf</w:t>
            </w:r>
          </w:p>
        </w:tc>
        <w:tc>
          <w:tcPr>
            <w:tcW w:type="dxa" w:w="1814"/>
          </w:tcPr>
          <w:p>
            <w:r>
              <w:rPr>
                <w:rFonts w:ascii="Times New Roman" w:hAnsi="Times New Roman"/>
                <w:sz w:val="20"/>
              </w:rPr>
              <w:t>höchstens dreimal je Woche, Schlafstörung</w:t>
            </w:r>
          </w:p>
        </w:tc>
      </w:tr>
    </w:tbl>
    <w:p>
      <w:pPr>
        <w:pStyle w:val="Heading2"/>
        <w:spacing w:before="120" w:after="60" w:line="259" w:lineRule="auto"/>
      </w:pPr>
      <w:r>
        <w:rPr>
          <w:rFonts w:ascii="Times New Roman" w:hAnsi="Times New Roman"/>
          <w:b/>
          <w:sz w:val="22"/>
        </w:rPr>
        <w:t>Ergänzende Hinweise der Hausärztin</w:t>
      </w:r>
    </w:p>
    <w:p>
      <w:pPr>
        <w:spacing w:line="259" w:lineRule="auto" w:after="60"/>
        <w:jc w:val="left"/>
      </w:pPr>
      <w:r>
        <w:t>Die Kombination aus Pregabalin, Sertralin und bedarfsweisem Zopiclon kann Konzentration, Reaktionsvermögen und Fahrtauglichkeit beeinträchtigen; die Patientin berichtet über Tagesmüdigkeit und Wortfindungsstörungen am Vormittag. Eine Dosissteigerung des Pregabalins wurde wegen dieser Nebenwirkungen bisher nicht vorgenommen. Die Schmerzmedikation soll im Rahmen der schmerztherapeutischen Vorstellung am 20.08.2026 neu geordnet werden.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