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Ausführlicher hausärztlicher Befundbericht</w:t>
      </w:r>
    </w:p>
    <w:p>
      <w:pPr>
        <w:spacing w:before="120" w:after="60" w:line="259" w:lineRule="auto"/>
        <w:jc w:val="left"/>
      </w:pPr>
      <w:r>
        <w:rPr>
          <w:rFonts w:ascii="Times New Roman" w:hAnsi="Times New Roman"/>
          <w:b/>
          <w:sz w:val="22"/>
        </w:rPr>
        <w:t>Hausarztpraxis Dr. med. Kathrin Seibt, Fachärztin für Allgemeinmedizin</w:t>
      </w:r>
    </w:p>
    <w:p>
      <w:pPr>
        <w:spacing w:before="120" w:after="60" w:line="259" w:lineRule="auto"/>
        <w:jc w:val="left"/>
      </w:pPr>
      <w:r>
        <w:rPr>
          <w:rFonts w:ascii="Times New Roman" w:hAnsi="Times New Roman"/>
          <w:b/>
          <w:sz w:val="22"/>
        </w:rPr>
        <w:t>Georg-Schumann-Straße 122, 04155 Leipzig, Telefon 0341 5901-44</w:t>
      </w:r>
    </w:p>
    <w:p>
      <w:pPr>
        <w:spacing w:before="120" w:after="60" w:line="259" w:lineRule="auto"/>
        <w:jc w:val="left"/>
      </w:pPr>
      <w:r>
        <w:rPr>
          <w:rFonts w:ascii="Times New Roman" w:hAnsi="Times New Roman"/>
          <w:b w:val="0"/>
          <w:i w:val="0"/>
          <w:sz w:val="22"/>
        </w:rPr>
        <w:t>Datum: 11.06.2026</w:t>
      </w:r>
    </w:p>
    <w:p>
      <w:pPr>
        <w:spacing w:line="259" w:lineRule="auto" w:after="60"/>
        <w:jc w:val="left"/>
      </w:pPr>
      <w:r>
        <w:t>Befundbericht auf Anforderung des Patienten zur Vorlage im sozialgerichtlichen Verfahren</w:t>
      </w:r>
    </w:p>
    <w:p>
      <w:pPr>
        <w:spacing w:before="120" w:after="60" w:line="259" w:lineRule="auto"/>
        <w:jc w:val="left"/>
      </w:pPr>
      <w:r>
        <w:rPr>
          <w:rFonts w:ascii="Times New Roman" w:hAnsi="Times New Roman"/>
          <w:b/>
          <w:sz w:val="22"/>
        </w:rPr>
        <w:t>Patient: Jens Malchow, geboren am 09.09.1971</w:t>
      </w:r>
    </w:p>
    <w:p>
      <w:pPr>
        <w:pStyle w:val="Heading2"/>
        <w:spacing w:before="120" w:after="60" w:line="259" w:lineRule="auto"/>
      </w:pPr>
      <w:r>
        <w:rPr>
          <w:rFonts w:ascii="Times New Roman" w:hAnsi="Times New Roman"/>
          <w:b/>
          <w:sz w:val="22"/>
        </w:rPr>
        <w:t>Anamnese und Verlauf</w:t>
      </w:r>
    </w:p>
    <w:p>
      <w:pPr>
        <w:spacing w:line="259" w:lineRule="auto" w:after="60"/>
        <w:jc w:val="left"/>
      </w:pPr>
      <w:r>
        <w:t>Seit Januar 2024 persistierende Lumboischialgie rechts. Am 15.02.2024 Sequestrektomie L5/S1 in der Auenwaldklinik Leipzig; postoperativ nur teilweise Besserung, seither chronifiziertes Schmerzsyndrom mit belastungsabhängiger Verschlechterung. Parallel progrediente Missempfindungen und Taubheitsgefühle beider Füße; die neurologische Abklärung (Praxis Dr. Behrend, Befund vom 28.04.2026) sicherte eine sensomotorische Polyneuropathie. Seit Herbst 2024 zunehmende depressive Symptomatik mit Antriebsminderung, Grübeln, Durchschlafstörung; eine ambulante Psychotherapie ist seit Februar 2026 beantragt, ein Therapieplatz steht aus.</w:t>
      </w:r>
    </w:p>
    <w:p>
      <w:pPr>
        <w:pStyle w:val="Heading2"/>
        <w:spacing w:line="259" w:lineRule="auto" w:after="60"/>
      </w:pPr>
      <w:r>
        <w:rPr>
          <w:rFonts w:ascii="Times New Roman" w:hAnsi="Times New Roman"/>
        </w:rPr>
        <w:t>Aktueller Befund</w:t>
      </w:r>
    </w:p>
    <w:p>
      <w:pPr>
        <w:spacing w:line="259" w:lineRule="auto" w:after="60"/>
        <w:jc w:val="left"/>
      </w:pPr>
      <w:r>
        <w:t>Kraftgrad der Fußheber rechts 4/5, abgeschwächter Achillessehnenreflex beidseits, Pallhypästhesie beider Großzehen und Malleolen, unsicheres Gangbild mit verkürzter Schrittlänge, Romberg-Stehversuch unsicher. Finger-Boden-Abstand 38 cm, deutlicher Hartspann lumbal. Psychisch: gedrückte Stimmung, reduzierter Antrieb, Klagsamkeit ohne Aggravationszeichen.</w:t>
      </w:r>
    </w:p>
    <w:p>
      <w:pPr>
        <w:pStyle w:val="Heading2"/>
        <w:spacing w:line="259" w:lineRule="auto" w:after="60"/>
      </w:pPr>
      <w:r>
        <w:rPr>
          <w:rFonts w:ascii="Times New Roman" w:hAnsi="Times New Roman"/>
        </w:rPr>
        <w:t>Medikation</w:t>
      </w:r>
    </w:p>
    <w:p>
      <w:pPr>
        <w:spacing w:line="259" w:lineRule="auto" w:after="60"/>
        <w:jc w:val="left"/>
      </w:pPr>
      <w:r>
        <w:t>Pregabalin 150 mg zweimal täglich, Metamizol bei Bedarf, Tilidin/Naloxon retard 100/8 mg zweimal täglich, Metformin 1000 mg zweimal täglich, Mirtazapin 30 mg zur Nacht.</w:t>
      </w:r>
    </w:p>
    <w:p>
      <w:pPr>
        <w:pStyle w:val="Heading2"/>
        <w:spacing w:line="259" w:lineRule="auto" w:after="60"/>
      </w:pPr>
      <w:r>
        <w:rPr>
          <w:rFonts w:ascii="Times New Roman" w:hAnsi="Times New Roman"/>
        </w:rPr>
        <w:t>Leistungsbeurteilung aus hausärztlicher Sicht</w:t>
      </w:r>
    </w:p>
    <w:p>
      <w:pPr>
        <w:spacing w:line="259" w:lineRule="auto" w:after="60"/>
        <w:jc w:val="left"/>
      </w:pPr>
      <w:r>
        <w:t>Die Belastbarkeit schwankt von Tag zu Tag erheblich. Die sichere Gehstrecke schätze ich anhand der Schilderungen und der Vorstellungen in der Praxis auf 80 bis 120 Meter am Stück; danach benötigt der Patient eine Pause. Längeres Sitzen ist nach 30 bis 40 Minuten schmerzbedingt zu unterbrechen. Schon Arztbesuche werden vom Sohn begleitet, weil der Patient sich Wege in unbekannter Umgebung nicht mehr zutraut und zweimal gestürzt ist. Eine regelmäßige Tätigkeit unter den Bedingungen des allgemeinen Arbeitsmarkts ist aus meiner Sicht derzeit auch für leichte Tätigkeiten nicht in einem Umfang von sechs Stunden täglich möglich. Ich verkenne nicht, dass die sozialmedizinische Beurteilung dem Rentenversicherungsträger und gegebenenfalls dem Gericht obliegt; die vorstehende Einschätzung beruht auf dem Langzeitverlauf seit 2024.</w:t>
      </w:r>
    </w:p>
    <w:p>
      <w:pPr>
        <w:spacing w:line="259" w:lineRule="auto" w:after="60"/>
        <w:jc w:val="left"/>
      </w:pPr>
      <w:r>
        <w:t>Dr. med. Kathrin Seibt</w:t>
      </w:r>
    </w:p>
    <w:p>
      <w:pPr>
        <w:spacing w:line="259" w:lineRule="auto" w:after="60"/>
        <w:jc w:val="left"/>
      </w:pPr>
      <w:r>
        <w:t>Fachärztin für Allgemeinmedizin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