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Mandatsnotiz und Fristsache</w:t>
      </w:r>
    </w:p>
    <w:p>
      <w:pPr>
        <w:pStyle w:val="Heading2"/>
        <w:spacing w:before="120" w:after="60" w:line="259" w:lineRule="auto"/>
      </w:pPr>
      <w:r>
        <w:rPr>
          <w:rFonts w:ascii="Times New Roman" w:hAnsi="Times New Roman"/>
          <w:b/>
          <w:sz w:val="22"/>
        </w:rPr>
        <w:t>1. Person und Ausgangslage</w:t>
      </w:r>
    </w:p>
    <w:p>
      <w:pPr>
        <w:spacing w:line="259" w:lineRule="auto" w:after="60"/>
        <w:jc w:val="left"/>
      </w:pPr>
      <w:r>
        <w:t>Mandant ist Eduard Klassen, geboren am 14.02.1959 in Karasuk, Gebiet Nowosibirsk. Er reiste am 17.09.1992 mit seiner Ehefrau Lidia und zwei Kindern nach Deutschland ein. Die Bescheinigung nach dem Bundesvertriebenengesetz liegt in Kopie vor; die Originale befinden sich nach Angabe des Mandanten bei den Rentenunterlagen im Keller.</w:t>
      </w:r>
    </w:p>
    <w:p>
      <w:pPr>
        <w:spacing w:line="259" w:lineRule="auto" w:after="60"/>
        <w:jc w:val="left"/>
      </w:pPr>
      <w:r>
        <w:t>Eduard Klassen war in der ehemaligen Sowjetunion Ingenieur für Kältetechnik im Kombinat SibChladProekt, zuletzt Gruppenleiter für technische Planung. In Deutschland erhielt er zunächst Sprachförderung, fand aber keine Anerkennung seines Abschlusses und arbeitete ab 1995 in der Poststelle der Möbelwerke Tönsbrink, später als Hausmeister im Klinikum Bielefeld-Mitte. Er spricht Deutsch alltagssicher, versteht amtliche Schreiben aber nur mit Hilfe seiner Tochter.</w:t>
      </w:r>
    </w:p>
    <w:p>
      <w:pPr>
        <w:pStyle w:val="Heading2"/>
        <w:spacing w:before="120" w:after="60" w:line="259" w:lineRule="auto"/>
      </w:pPr>
      <w:r>
        <w:rPr>
          <w:rFonts w:ascii="Times New Roman" w:hAnsi="Times New Roman"/>
          <w:b/>
          <w:sz w:val="22"/>
        </w:rPr>
        <w:t>2. Aktueller Anlass</w:t>
      </w:r>
    </w:p>
    <w:p>
      <w:pPr>
        <w:spacing w:line="259" w:lineRule="auto" w:after="60"/>
        <w:jc w:val="left"/>
      </w:pPr>
      <w:r>
        <w:t>Die DRV Westfalen hat mit Bescheid vom 12.06.2026 die Kontenklärung teilweise abgeschlossen. Als nachgewiesene Beitragszeit anerkannt wurde nur die Beschäftigung vom 01.07.1981 bis 31.12.1986, allerdings lediglich in Qualifikationsgruppe 3 statt als Ingenieurtätigkeit. Die Studienzeit 1976 bis 1981 blieb als Anrechnungszeit offen. Die Zeiten 1987 bis 1992 wurden wegen unklarer Archivlage, fehlender Beitragsbestätigung und widersprüchlicher Übersetzung nur als glaubhaft gemacht geführt. Für Zeiten nach dem Zuzug ist ab Dezember 1995 alles unstreitig; die Eingliederungsphase 1992 bis 1994 wurde nicht berücksichtigt.</w:t>
      </w:r>
    </w:p>
    <w:p>
      <w:pPr>
        <w:spacing w:line="259" w:lineRule="auto" w:after="60"/>
        <w:jc w:val="left"/>
      </w:pPr>
      <w:r>
        <w:t>Zugang des Bescheids: 17.06.2026. Widerspruchsfrist läuft bis 17.07.2026. Der Mandant brachte am 27.06.2026 neue Übersetzungen, Fotos des Arbeitsbuchs und eine E-Mail seiner Cousine aus Nowosibirsk mit.</w:t>
      </w:r>
    </w:p>
    <w:p>
      <w:pPr>
        <w:pStyle w:val="Heading2"/>
        <w:spacing w:before="120" w:after="60" w:line="259" w:lineRule="auto"/>
      </w:pPr>
      <w:r>
        <w:rPr>
          <w:rFonts w:ascii="Times New Roman" w:hAnsi="Times New Roman"/>
          <w:b/>
          <w:sz w:val="22"/>
        </w:rPr>
        <w:t>3. Rentenberaterlicher Arbeitsauftrag</w:t>
      </w:r>
    </w:p>
    <w:p>
      <w:pPr>
        <w:spacing w:line="259" w:lineRule="auto" w:after="60"/>
        <w:jc w:val="left"/>
      </w:pPr>
      <w:r>
        <w:t>Erstens soll der Widerspruch gegen die Kontenklärung vorbereitet werden. Zweitens ist eine sortierte Anlagenmappe für die DRV zu erstellen, die russische Originalangaben nur über beglaubigte Übersetzung, Transliteration und Fundstellenvermerk erklärt. Drittens muss geprüft werden, ob die Bewertung als technische Tätigkeit, die Sechstelkürzung wegen Glaubhaftmachung und die Begrenzung für Spätaussiedler jeweils getrennt angegriffen werden können.</w:t>
      </w:r>
    </w:p>
    <w:p>
      <w:pPr>
        <w:spacing w:line="259" w:lineRule="auto" w:after="60"/>
        <w:jc w:val="left"/>
      </w:pPr>
      <w:r>
        <w:t>Wichtig: Keine ausländerrechtliche Nebenberatung übernehmen. Die rentenberaterliche Arbeit bleibt bei Versicherungsverlauf, FRG-Bewertung, Nachweislast, Übersetzung, Widerspruch und späterer sozialgerichtlicher Klage.</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Rentenberatung Jessen &amp; Kollegium | Renten- und Versorgungsakte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