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Rentenbescheid große Witwenrente</w:t>
      </w:r>
    </w:p>
    <w:p>
      <w:pPr>
        <w:spacing w:before="120" w:after="60" w:line="259" w:lineRule="auto"/>
        <w:jc w:val="left"/>
      </w:pPr>
      <w:r>
        <w:rPr>
          <w:rFonts w:ascii="Times New Roman" w:hAnsi="Times New Roman"/>
          <w:b/>
          <w:sz w:val="22"/>
        </w:rPr>
        <w:t>Deutsche Rentenversicherung Oldenburg-Bremen, Huntestraße 11, 26135 Oldenburg</w:t>
      </w:r>
    </w:p>
    <w:p>
      <w:pPr>
        <w:spacing w:before="120" w:after="60" w:line="259" w:lineRule="auto"/>
        <w:jc w:val="left"/>
      </w:pPr>
      <w:r>
        <w:rPr>
          <w:rFonts w:ascii="Times New Roman" w:hAnsi="Times New Roman"/>
          <w:b/>
          <w:sz w:val="22"/>
        </w:rPr>
        <w:t>Versicherungsnummer: 15 120855 B 508 (Karl Bruns)</w:t>
      </w:r>
    </w:p>
    <w:p>
      <w:pPr>
        <w:spacing w:before="120" w:after="60" w:line="259" w:lineRule="auto"/>
        <w:jc w:val="left"/>
      </w:pPr>
      <w:r>
        <w:rPr>
          <w:rFonts w:ascii="Times New Roman" w:hAnsi="Times New Roman"/>
          <w:b/>
          <w:sz w:val="22"/>
        </w:rPr>
        <w:t>Kennzeichen: HB-WR 2026-1877</w:t>
      </w:r>
    </w:p>
    <w:p>
      <w:pPr>
        <w:spacing w:before="120" w:after="60" w:line="259" w:lineRule="auto"/>
        <w:jc w:val="left"/>
      </w:pPr>
      <w:r>
        <w:rPr>
          <w:rFonts w:ascii="Times New Roman" w:hAnsi="Times New Roman"/>
          <w:b w:val="0"/>
          <w:i w:val="0"/>
          <w:sz w:val="22"/>
        </w:rPr>
        <w:t>Datum: 28.05.2026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Helga Bruns</w:t>
      </w:r>
    </w:p>
    <w:p>
      <w:pPr>
        <w:spacing w:before="120" w:after="60" w:line="259" w:lineRule="auto"/>
        <w:jc w:val="left"/>
      </w:pPr>
      <w:r>
        <w:rPr>
          <w:rFonts w:ascii="Times New Roman" w:hAnsi="Times New Roman"/>
          <w:b/>
          <w:sz w:val="22"/>
        </w:rPr>
        <w:t>Osterholzer Heerstraße 112</w:t>
      </w:r>
    </w:p>
    <w:p>
      <w:pPr>
        <w:spacing w:line="259" w:lineRule="auto" w:after="60"/>
        <w:jc w:val="left"/>
      </w:pPr>
      <w:r>
        <w:t>28325 Bremen</w:t>
      </w:r>
    </w:p>
    <w:p>
      <w:pPr>
        <w:spacing w:line="259" w:lineRule="auto" w:after="60"/>
        <w:jc w:val="left"/>
      </w:pPr>
      <w:r>
        <w:t>Betreff: Rente wegen Todes – große Witwenrente aus der Versicherung des Karl Bruns</w:t>
      </w:r>
    </w:p>
    <w:p>
      <w:pPr>
        <w:spacing w:line="259" w:lineRule="auto" w:after="60"/>
        <w:jc w:val="left"/>
      </w:pPr>
      <w:r>
        <w:t>Sehr geehrte Frau Bruns,</w:t>
      </w:r>
    </w:p>
    <w:p>
      <w:pPr>
        <w:spacing w:line="259" w:lineRule="auto" w:after="60"/>
        <w:jc w:val="left"/>
      </w:pPr>
      <w:r>
        <w:t>auf Ihren Antrag vom 05.05.2026 erhalten Sie aus der Versicherung Ihres am 21.04.2026 verstorbenen Ehemannes Karl Bruns eine große Witwenrente. Die Rente beginnt am 01.05.2026 und wird längstens bis zum Ende des Monats gezahlt, in dem Sie erneut heiraten.</w:t>
      </w:r>
    </w:p>
    <w:p>
      <w:pPr>
        <w:pStyle w:val="Heading2"/>
        <w:spacing w:line="259" w:lineRule="auto" w:after="60"/>
      </w:pPr>
      <w:r>
        <w:rPr>
          <w:rFonts w:ascii="Times New Roman" w:hAnsi="Times New Roman"/>
        </w:rPr>
        <w:t>Rentenhöhe</w:t>
      </w:r>
    </w:p>
    <w:p>
      <w:pPr>
        <w:spacing w:line="259" w:lineRule="auto" w:after="60"/>
        <w:jc w:val="left"/>
      </w:pPr>
      <w:r>
        <w:t>Für die Zeit vom 01.05.2026 bis zum 31.07.2026 wird die Rente in Höhe der Versichertenrente des Verstorbenen ohne Anrechnung eigenen Einkommens gezahlt (Sterbevierteljahr). Ab dem 01.08.2026 beträgt die Witwenrente 55 Prozent der Versichertenrente; eigenes Einkommen wird angerechnet.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Zeitraum</w:t>
            </w:r>
          </w:p>
        </w:tc>
        <w:tc>
          <w:tcPr>
            <w:tcW w:type="dxa" w:w="1814"/>
          </w:tcPr>
          <w:p>
            <w:r>
              <w:rPr>
                <w:rFonts w:ascii="Times New Roman" w:hAnsi="Times New Roman"/>
                <w:b/>
                <w:sz w:val="20"/>
              </w:rPr>
              <w:t>Monatlicher Bruttobetrag</w:t>
            </w:r>
          </w:p>
        </w:tc>
        <w:tc>
          <w:tcPr>
            <w:tcW w:type="dxa" w:w="1814"/>
          </w:tcPr>
          <w:p>
            <w:r>
              <w:rPr>
                <w:rFonts w:ascii="Times New Roman" w:hAnsi="Times New Roman"/>
                <w:b/>
                <w:sz w:val="20"/>
              </w:rPr>
              <w:t>Einkommensanrechnung</w:t>
            </w:r>
          </w:p>
        </w:tc>
        <w:tc>
          <w:tcPr>
            <w:tcW w:type="dxa" w:w="1814"/>
          </w:tcPr>
          <w:p>
            <w:r>
              <w:rPr>
                <w:rFonts w:ascii="Times New Roman" w:hAnsi="Times New Roman"/>
                <w:b/>
                <w:sz w:val="20"/>
              </w:rPr>
              <w:t>Beitragsanteile KV/PV</w:t>
            </w:r>
          </w:p>
        </w:tc>
        <w:tc>
          <w:tcPr>
            <w:tcW w:type="dxa" w:w="1814"/>
          </w:tcPr>
          <w:p>
            <w:r>
              <w:rPr>
                <w:rFonts w:ascii="Times New Roman" w:hAnsi="Times New Roman"/>
                <w:b/>
                <w:sz w:val="20"/>
              </w:rPr>
              <w:t>Monatlicher Zahlbetrag</w:t>
            </w:r>
          </w:p>
        </w:tc>
      </w:tr>
      <w:tr>
        <w:tc>
          <w:tcPr>
            <w:tcW w:type="dxa" w:w="1814"/>
          </w:tcPr>
          <w:p>
            <w:r>
              <w:rPr>
                <w:rFonts w:ascii="Times New Roman" w:hAnsi="Times New Roman"/>
                <w:sz w:val="20"/>
              </w:rPr>
              <w:t>01.05.2026 bis 31.07.2026</w:t>
            </w:r>
          </w:p>
        </w:tc>
        <w:tc>
          <w:tcPr>
            <w:tcW w:type="dxa" w:w="1814"/>
          </w:tcPr>
          <w:p>
            <w:r>
              <w:rPr>
                <w:rFonts w:ascii="Times New Roman" w:hAnsi="Times New Roman"/>
                <w:sz w:val="20"/>
              </w:rPr>
              <w:t>1.498,60 EUR</w:t>
            </w:r>
          </w:p>
        </w:tc>
        <w:tc>
          <w:tcPr>
            <w:tcW w:type="dxa" w:w="1814"/>
          </w:tcPr>
          <w:p>
            <w:r>
              <w:rPr>
                <w:rFonts w:ascii="Times New Roman" w:hAnsi="Times New Roman"/>
                <w:sz w:val="20"/>
              </w:rPr>
              <w:t>0,00 EUR</w:t>
            </w:r>
          </w:p>
        </w:tc>
        <w:tc>
          <w:tcPr>
            <w:tcW w:type="dxa" w:w="1814"/>
          </w:tcPr>
          <w:p>
            <w:r>
              <w:rPr>
                <w:rFonts w:ascii="Times New Roman" w:hAnsi="Times New Roman"/>
                <w:sz w:val="20"/>
              </w:rPr>
              <w:t>185,08 EUR</w:t>
            </w:r>
          </w:p>
        </w:tc>
        <w:tc>
          <w:tcPr>
            <w:tcW w:type="dxa" w:w="1814"/>
          </w:tcPr>
          <w:p>
            <w:r>
              <w:rPr>
                <w:rFonts w:ascii="Times New Roman" w:hAnsi="Times New Roman"/>
                <w:sz w:val="20"/>
              </w:rPr>
              <w:t>1.313,52 EUR</w:t>
            </w:r>
          </w:p>
        </w:tc>
      </w:tr>
      <w:tr>
        <w:tc>
          <w:tcPr>
            <w:tcW w:type="dxa" w:w="1814"/>
          </w:tcPr>
          <w:p>
            <w:r>
              <w:rPr>
                <w:rFonts w:ascii="Times New Roman" w:hAnsi="Times New Roman"/>
                <w:sz w:val="20"/>
              </w:rPr>
              <w:t>ab 01.08.2026</w:t>
            </w:r>
          </w:p>
        </w:tc>
        <w:tc>
          <w:tcPr>
            <w:tcW w:type="dxa" w:w="1814"/>
          </w:tcPr>
          <w:p>
            <w:r>
              <w:rPr>
                <w:rFonts w:ascii="Times New Roman" w:hAnsi="Times New Roman"/>
                <w:sz w:val="20"/>
              </w:rPr>
              <w:t>824,23 EUR</w:t>
            </w:r>
          </w:p>
        </w:tc>
        <w:tc>
          <w:tcPr>
            <w:tcW w:type="dxa" w:w="1814"/>
          </w:tcPr>
          <w:p>
            <w:r>
              <w:rPr>
                <w:rFonts w:ascii="Times New Roman" w:hAnsi="Times New Roman"/>
                <w:sz w:val="20"/>
              </w:rPr>
              <w:t>63,74 EUR</w:t>
            </w:r>
          </w:p>
        </w:tc>
        <w:tc>
          <w:tcPr>
            <w:tcW w:type="dxa" w:w="1814"/>
          </w:tcPr>
          <w:p>
            <w:r>
              <w:rPr>
                <w:rFonts w:ascii="Times New Roman" w:hAnsi="Times New Roman"/>
                <w:sz w:val="20"/>
              </w:rPr>
              <w:t>93,92 EUR</w:t>
            </w:r>
          </w:p>
        </w:tc>
        <w:tc>
          <w:tcPr>
            <w:tcW w:type="dxa" w:w="1814"/>
          </w:tcPr>
          <w:p>
            <w:r>
              <w:rPr>
                <w:rFonts w:ascii="Times New Roman" w:hAnsi="Times New Roman"/>
                <w:sz w:val="20"/>
              </w:rPr>
              <w:t>666,57 EUR</w:t>
            </w:r>
          </w:p>
        </w:tc>
      </w:tr>
    </w:tbl>
    <w:p>
      <w:pPr>
        <w:spacing w:line="259" w:lineRule="auto" w:after="60"/>
        <w:jc w:val="left"/>
      </w:pPr>
      <w:r>
        <w:t>Die Nachzahlung für die Monate Mai und Juni 2026 in Höhe von 2.627,04 EUR wird gesondert angewiesen. Die laufende Zahlung erfolgt ab Juli 2026 monatlich im Voraus durch den Renten Service der Deutschen Post AG.</w:t>
      </w:r>
    </w:p>
    <w:p>
      <w:pPr>
        <w:pStyle w:val="Heading2"/>
        <w:spacing w:line="259" w:lineRule="auto" w:after="60"/>
      </w:pPr>
      <w:r>
        <w:rPr>
          <w:rFonts w:ascii="Times New Roman" w:hAnsi="Times New Roman"/>
        </w:rPr>
        <w:t>Einkommensanrechnung ab dem 01.08.2026</w:t>
      </w:r>
    </w:p>
    <w:p>
      <w:pPr>
        <w:spacing w:line="259" w:lineRule="auto" w:after="60"/>
        <w:jc w:val="left"/>
      </w:pPr>
      <w:r>
        <w:t>Auf die Witwenrente wird eigenes Einkommen angerechnet, soweit es den Freibetrag übersteigt. Der Berechnung liegen die der Rentenversicherung automatisiert gemeldeten Einkünfte zugrunde.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Rechenschritt</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Berücksichtigtes monatliches Nettoeinkommen</w:t>
            </w:r>
          </w:p>
        </w:tc>
        <w:tc>
          <w:tcPr>
            <w:tcW w:type="dxa" w:w="4536"/>
          </w:tcPr>
          <w:p>
            <w:r>
              <w:rPr>
                <w:rFonts w:ascii="Times New Roman" w:hAnsi="Times New Roman"/>
                <w:sz w:val="20"/>
              </w:rPr>
              <w:t>1.236,20 EUR</w:t>
            </w:r>
          </w:p>
        </w:tc>
      </w:tr>
      <w:tr>
        <w:tc>
          <w:tcPr>
            <w:tcW w:type="dxa" w:w="4536"/>
          </w:tcPr>
          <w:p>
            <w:r>
              <w:rPr>
                <w:rFonts w:ascii="Times New Roman" w:hAnsi="Times New Roman"/>
                <w:sz w:val="20"/>
              </w:rPr>
              <w:t>Freibetrag</w:t>
            </w:r>
          </w:p>
        </w:tc>
        <w:tc>
          <w:tcPr>
            <w:tcW w:type="dxa" w:w="4536"/>
          </w:tcPr>
          <w:p>
            <w:r>
              <w:rPr>
                <w:rFonts w:ascii="Times New Roman" w:hAnsi="Times New Roman"/>
                <w:sz w:val="20"/>
              </w:rPr>
              <w:t>1.076,86 EUR</w:t>
            </w:r>
          </w:p>
        </w:tc>
      </w:tr>
      <w:tr>
        <w:tc>
          <w:tcPr>
            <w:tcW w:type="dxa" w:w="4536"/>
          </w:tcPr>
          <w:p>
            <w:r>
              <w:rPr>
                <w:rFonts w:ascii="Times New Roman" w:hAnsi="Times New Roman"/>
                <w:sz w:val="20"/>
              </w:rPr>
              <w:t>Übersteigender Betrag</w:t>
            </w:r>
          </w:p>
        </w:tc>
        <w:tc>
          <w:tcPr>
            <w:tcW w:type="dxa" w:w="4536"/>
          </w:tcPr>
          <w:p>
            <w:r>
              <w:rPr>
                <w:rFonts w:ascii="Times New Roman" w:hAnsi="Times New Roman"/>
                <w:sz w:val="20"/>
              </w:rPr>
              <w:t>159,34 EUR</w:t>
            </w:r>
          </w:p>
        </w:tc>
      </w:tr>
      <w:tr>
        <w:tc>
          <w:tcPr>
            <w:tcW w:type="dxa" w:w="4536"/>
          </w:tcPr>
          <w:p>
            <w:r>
              <w:rPr>
                <w:rFonts w:ascii="Times New Roman" w:hAnsi="Times New Roman"/>
                <w:sz w:val="20"/>
              </w:rPr>
              <w:t>Anrechnungsbetrag (40 Prozent)</w:t>
            </w:r>
          </w:p>
        </w:tc>
        <w:tc>
          <w:tcPr>
            <w:tcW w:type="dxa" w:w="4536"/>
          </w:tcPr>
          <w:p>
            <w:r>
              <w:rPr>
                <w:rFonts w:ascii="Times New Roman" w:hAnsi="Times New Roman"/>
                <w:sz w:val="20"/>
              </w:rPr>
              <w:t>63,74 EUR</w:t>
            </w:r>
          </w:p>
        </w:tc>
      </w:tr>
    </w:tbl>
    <w:p>
      <w:pPr>
        <w:spacing w:line="259" w:lineRule="auto" w:after="60"/>
        <w:jc w:val="left"/>
      </w:pPr>
      <w:r>
        <w:t>Eine Aufschlüsselung der berücksichtigten Einkommensarten enthält dieser Bescheid nicht. Änderungen Ihres Einkommens sind unverzüglich mitzuteilen.</w:t>
      </w:r>
    </w:p>
    <w:p>
      <w:pPr>
        <w:pStyle w:val="Heading2"/>
        <w:spacing w:line="259" w:lineRule="auto" w:after="60"/>
      </w:pPr>
      <w:r>
        <w:rPr>
          <w:rFonts w:ascii="Times New Roman" w:hAnsi="Times New Roman"/>
        </w:rPr>
        <w:t>Kranken- und Pflegeversicherung</w:t>
      </w:r>
    </w:p>
    <w:p>
      <w:pPr>
        <w:spacing w:line="259" w:lineRule="auto" w:after="60"/>
        <w:jc w:val="left"/>
      </w:pPr>
      <w:r>
        <w:t>Sie sind in der Krankenversicherung der Rentner pflichtversichert. Aus der Witwenrente werden Beiträge zur Kranken- und Pflegeversicherung einbehalten und an die Weser Krankenkasse abgeführt. Der Beitragsanteil beträgt derzeit 8,75 Prozent (Krankenversicherung einschließlich des halben Zusatzbeitrags) und 3,6 Prozent (Pflegeversicherung).</w:t>
      </w:r>
    </w:p>
    <w:p>
      <w:pPr>
        <w:pStyle w:val="Heading2"/>
        <w:spacing w:line="259" w:lineRule="auto" w:after="60"/>
      </w:pPr>
      <w:r>
        <w:rPr>
          <w:rFonts w:ascii="Times New Roman" w:hAnsi="Times New Roman"/>
        </w:rPr>
        <w:t>Mitwirkungspflichten</w:t>
      </w:r>
    </w:p>
    <w:p>
      <w:pPr>
        <w:spacing w:line="259" w:lineRule="auto" w:after="60"/>
        <w:jc w:val="left"/>
      </w:pPr>
      <w:r>
        <w:t>Sie sind verpflichtet, uns eine Wiederheirat, die Begründung einer Lebenspartnerschaft sowie jede Änderung Ihrer Einkommensverhältnisse unverzüglich mitzuteilen. Zu Unrecht erbrachte Leistungen sind zu erstatten.</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Deutschen Rentenversicherung Oldenburg-Bremen, Huntestraße 11, 26135 Oldenburg, einzulegen. Die Frist ist auch gewahrt, wenn der Widerspruch bei einer anderen inländischen Stelle der gesetzlichen Rentenversicherung eingeht.</w:t>
      </w:r>
    </w:p>
    <w:p>
      <w:pPr>
        <w:spacing w:line="259" w:lineRule="auto" w:after="60"/>
        <w:jc w:val="left"/>
      </w:pPr>
      <w:r>
        <w:t>Mit freundlichen Grüßen</w:t>
      </w:r>
    </w:p>
    <w:p>
      <w:pPr>
        <w:spacing w:line="259" w:lineRule="auto" w:after="60"/>
        <w:jc w:val="left"/>
      </w:pPr>
      <w:r>
        <w:t>Im Auftrag</w:t>
      </w:r>
    </w:p>
    <w:p>
      <w:pPr>
        <w:spacing w:line="259" w:lineRule="auto" w:after="60"/>
        <w:jc w:val="left"/>
      </w:pPr>
      <w:r>
        <w:t>Renneberg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