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Beratungsvermerk Anbieterhaftung</w:t>
      </w:r>
    </w:p>
    <w:p>
      <w:pPr>
        <w:pStyle w:val="Heading2"/>
        <w:spacing w:before="120" w:after="60" w:line="259" w:lineRule="auto"/>
      </w:pPr>
      <w:r>
        <w:rPr>
          <w:rFonts w:ascii="Times New Roman" w:hAnsi="Times New Roman"/>
          <w:b/>
          <w:sz w:val="22"/>
        </w:rPr>
        <w:t>Ausgangspunkt</w:t>
      </w:r>
    </w:p>
    <w:p>
      <w:pPr>
        <w:spacing w:line="259" w:lineRule="auto" w:after="60"/>
        <w:jc w:val="left"/>
      </w:pPr>
      <w:r>
        <w:t>Die Mandantin vertraute auf die E-Mail der SüdLeben Vorsorge AG vom 19.12.2024. Der Anbieter empfahl eine Sonderzahlung von 300,00 EUR, ohne die zugrunde gelegte Berechnung offenzulegen. Falls die Zulagenstelle bei ihrer Rückforderung bleibt, stellt sich ein zweiter Beratungsstrang: Ersatzansprüche gegen Anbieter oder Vermittler.</w:t>
      </w:r>
    </w:p>
    <w:p>
      <w:pPr>
        <w:pStyle w:val="Heading2"/>
        <w:spacing w:before="120" w:after="60" w:line="259" w:lineRule="auto"/>
      </w:pPr>
      <w:r>
        <w:rPr>
          <w:rFonts w:ascii="Times New Roman" w:hAnsi="Times New Roman"/>
          <w:b/>
          <w:sz w:val="22"/>
        </w:rPr>
        <w:t>Tatsachen für eine Anspruchsprüfung</w:t>
      </w:r>
    </w:p>
    <w:p>
      <w:pPr>
        <w:pStyle w:val="ListNumber"/>
        <w:spacing w:line="259" w:lineRule="auto" w:after="60"/>
      </w:pPr>
      <w:r>
        <w:t>Dauerzulagenantrag bestand seit Vertragsbeginn.</w:t>
      </w:r>
    </w:p>
    <w:p>
      <w:pPr>
        <w:pStyle w:val="ListNumber"/>
        <w:spacing w:line="259" w:lineRule="auto" w:after="60"/>
      </w:pPr>
      <w:r>
        <w:t>Anbieter hatte Daten zu Eigenbeiträgen und Zulagen, aber möglicherweise nicht das vollständige Vorjahreseinkommen.</w:t>
      </w:r>
    </w:p>
    <w:p>
      <w:pPr>
        <w:pStyle w:val="ListNumber"/>
        <w:spacing w:line="259" w:lineRule="auto" w:after="60"/>
      </w:pPr>
      <w:r>
        <w:t>Die Mandantin fragte ausdrücklich nach, welcher Betrag bis Jahresende nötig sei.</w:t>
      </w:r>
    </w:p>
    <w:p>
      <w:pPr>
        <w:pStyle w:val="ListNumber"/>
        <w:spacing w:line="259" w:lineRule="auto" w:after="60"/>
      </w:pPr>
      <w:r>
        <w:t>Die Antwort "sollte reichen" ist weich formuliert.</w:t>
      </w:r>
    </w:p>
    <w:p>
      <w:pPr>
        <w:pStyle w:val="ListNumber"/>
        <w:spacing w:line="259" w:lineRule="auto" w:after="60"/>
      </w:pPr>
      <w:r>
        <w:t>Die Mandantin leistete daraufhin genau 300,00 EUR zusätzlich.</w:t>
      </w:r>
    </w:p>
    <w:p>
      <w:pPr>
        <w:pStyle w:val="Heading2"/>
        <w:spacing w:line="259" w:lineRule="auto" w:after="60"/>
      </w:pPr>
      <w:r>
        <w:rPr>
          <w:rFonts w:ascii="Times New Roman" w:hAnsi="Times New Roman"/>
        </w:rPr>
        <w:t>Mandantenschreiben Entwurf</w:t>
      </w:r>
    </w:p>
    <w:p>
      <w:pPr>
        <w:spacing w:line="259" w:lineRule="auto" w:after="60"/>
        <w:jc w:val="left"/>
      </w:pPr>
      <w:r>
        <w:t>Sehr geehrte Frau Erhart,</w:t>
      </w:r>
    </w:p>
    <w:p>
      <w:pPr>
        <w:spacing w:line="259" w:lineRule="auto" w:after="60"/>
        <w:jc w:val="left"/>
      </w:pPr>
      <w:r>
        <w:t>wir verfolgen zuerst den Einspruch gegen die Rückforderung. Parallel sichern wir die Unterlagen für einen möglichen Anspruch gegen den Anbieter. Entscheidend ist, welche Informationen der Anbieter hatte und ob er eine verbindliche Berechnung oder nur eine unverbindliche Servicemitteilung abgegeben hat. Bitte suchen Sie daher alle Nachrichten zur Riester-Beratung ab November 2024 heraus, insbesondere Chatverläufe, Telefonnotizen, Beratungsprotokolle und Kontoauszüge zur Sonderzahlung.</w:t>
      </w:r>
    </w:p>
    <w:p>
      <w:pPr>
        <w:pStyle w:val="Heading2"/>
        <w:spacing w:line="259" w:lineRule="auto" w:after="60"/>
      </w:pPr>
      <w:r>
        <w:rPr>
          <w:rFonts w:ascii="Times New Roman" w:hAnsi="Times New Roman"/>
        </w:rPr>
        <w:t>Risiko</w:t>
      </w:r>
    </w:p>
    <w:p>
      <w:pPr>
        <w:spacing w:line="259" w:lineRule="auto" w:after="60"/>
        <w:jc w:val="left"/>
      </w:pPr>
      <w:r>
        <w:t>Ein Anbieterhaftungsanspruch ersetzt nicht die Zulagenprüfung. Er wird erst praktisch, wenn die Rückforderung ganz oder teilweise bestehen bleibt und nachweisbar ist, dass die Mandantin bei richtiger Information rechtzeitig mehr eingezahlt hätte.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