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Mandatsaufnahme</w:t>
      </w:r>
    </w:p>
    <w:p>
      <w:pPr>
        <w:spacing w:before="120" w:after="60" w:line="259" w:lineRule="auto"/>
        <w:jc w:val="left"/>
      </w:pPr>
      <w:r>
        <w:rPr>
          <w:rFonts w:ascii="Times New Roman" w:hAnsi="Times New Roman"/>
          <w:b/>
          <w:sz w:val="22"/>
        </w:rPr>
        <w:t>Dr. Ohnesorg &amp; Kollegen Rechtsanwälte, Kaiser-Joseph-Straße 248, 79098 Freiburg</w:t>
      </w:r>
    </w:p>
    <w:p>
      <w:pPr>
        <w:spacing w:before="120" w:after="60" w:line="259" w:lineRule="auto"/>
        <w:jc w:val="left"/>
      </w:pPr>
      <w:r>
        <w:rPr>
          <w:rFonts w:ascii="Times New Roman" w:hAnsi="Times New Roman"/>
          <w:b w:val="0"/>
          <w:i w:val="0"/>
          <w:sz w:val="22"/>
        </w:rPr>
        <w:t>Aktenzeichen: 214/26-OH</w:t>
      </w:r>
    </w:p>
    <w:p>
      <w:pPr>
        <w:spacing w:line="259" w:lineRule="auto" w:after="60"/>
        <w:jc w:val="left"/>
      </w:pPr>
      <w:r>
        <w:t>Vermerk des Rechtsanwalts Dr. Julius Ohnesorg vom 22.06.2026, Erstgespräch in der Kanzlei</w:t>
      </w:r>
    </w:p>
    <w:p>
      <w:pPr>
        <w:pStyle w:val="Heading2"/>
        <w:spacing w:before="120" w:after="60" w:line="259" w:lineRule="auto"/>
      </w:pPr>
      <w:r>
        <w:rPr>
          <w:rFonts w:ascii="Times New Roman" w:hAnsi="Times New Roman"/>
          <w:b/>
          <w:sz w:val="22"/>
        </w:rPr>
        <w:t>Mandant und Ausgangslage</w:t>
      </w:r>
    </w:p>
    <w:p>
      <w:pPr>
        <w:spacing w:line="259" w:lineRule="auto" w:after="60"/>
        <w:jc w:val="left"/>
      </w:pPr>
      <w:r>
        <w:rPr>
          <w:rFonts w:ascii="Times New Roman" w:hAnsi="Times New Roman"/>
          <w:b w:val="0"/>
          <w:i w:val="0"/>
          <w:sz w:val="22"/>
        </w:rPr>
        <w:t>Mandant: Nils Rademacher, geboren am 22.05.1986, Architekt, wohnhaft Zähringer Straße 14, 79108 Freiburg. Versicherungsnummer: 65 220586 R 038. Der Mandant ist seit dem 01.02.2024 in die Architektenliste der Architektenkammer Baden-Württemberg eingetragen (Mitgliedsnummer 84512) und seither Pflichtmitglied im Versorgungswerk der Architektenkammer Baden-Württemberg (Mitgliedsnummer VW-2024-11873).</w:t>
      </w:r>
    </w:p>
    <w:p>
      <w:pPr>
        <w:spacing w:line="259" w:lineRule="auto" w:after="60"/>
        <w:jc w:val="left"/>
      </w:pPr>
      <w:r>
        <w:t>Seit dem 01.03.2024 ist er bei der Stein &amp; Hofmann Projektsteuerung GmbH, Bismarckallee 9, 79098 Freiburg, als Projektleiter Hochbau beschäftigt. Der Arbeitgeber führt seit Beschäftigungsbeginn Pflichtbeiträge zur Deutschen Rentenversicherung ab. Parallel erhebt das Versorgungswerk den satzungsmäßigen Beitrag für angestellte Mitglieder ohne Befreiung. Der Mandant zahlt seit März 2024 doppelt; die Summen ergeben sich aus dem Beitragsraster (Aktenstück 11).</w:t>
      </w:r>
    </w:p>
    <w:p>
      <w:pPr>
        <w:pStyle w:val="Heading2"/>
        <w:spacing w:before="120" w:after="60" w:line="259" w:lineRule="auto"/>
      </w:pPr>
      <w:r>
        <w:rPr>
          <w:rFonts w:ascii="Times New Roman" w:hAnsi="Times New Roman"/>
          <w:b/>
          <w:sz w:val="22"/>
        </w:rPr>
        <w:t>Verfahrensstand</w:t>
      </w:r>
    </w:p>
    <w:p>
      <w:pPr>
        <w:spacing w:line="259" w:lineRule="auto" w:after="60"/>
        <w:jc w:val="left"/>
      </w:pPr>
      <w:r>
        <w:t>Den Antrag auf Befreiung von der Rentenversicherungspflicht zugunsten des Versorgungswerks hat der Mandant am 15.04.2024 über das Versorgungswerk bei der Deutschen Rentenversicherung Bund gestellt. Nach einer Anhörung vom 12.01.2026 und einer Stellungnahme des Mandanten vom 09.02.2026 hat die DRV Bund den Antrag mit Bescheid vom 08.05.2026 abgelehnt: Die konkrete Beschäftigung sei Projektsteuerung ohne berufsspezifische architektonische Prägung. Den selbst verfassten Widerspruch des Mandanten vom 18.05.2026 hat die Widerspruchsstelle mit Widerspruchsbescheid vom 10.06.2026 zurückgewiesen. Der Widerspruchsbescheid ist dem Mandanten am 13.06.2026 zugegangen; der Briefumschlag mit Vermerk des Zustelldatums liegt vor.</w:t>
      </w:r>
    </w:p>
    <w:p>
      <w:pPr>
        <w:pStyle w:val="Heading2"/>
        <w:spacing w:line="259" w:lineRule="auto" w:after="60"/>
      </w:pPr>
      <w:r>
        <w:rPr>
          <w:rFonts w:ascii="Times New Roman" w:hAnsi="Times New Roman"/>
        </w:rPr>
        <w:t>Frist</w:t>
      </w:r>
    </w:p>
    <w:p>
      <w:pPr>
        <w:spacing w:line="259" w:lineRule="auto" w:after="60"/>
        <w:jc w:val="left"/>
      </w:pPr>
      <w:r>
        <w:t>Klagefrist: ein Monat ab Bekanntgabe des Widerspruchsbescheids, notiert auf den 13.07.2026. Klage zum Sozialgericht Freiburg ist rechtzeitig einzureichen; Vorfrist 08.07.2026.</w:t>
      </w:r>
    </w:p>
    <w:p>
      <w:pPr>
        <w:pStyle w:val="Heading2"/>
        <w:spacing w:line="259" w:lineRule="auto" w:after="60"/>
      </w:pPr>
      <w:r>
        <w:rPr>
          <w:rFonts w:ascii="Times New Roman" w:hAnsi="Times New Roman"/>
        </w:rPr>
        <w:t>Einschätzung nach Erstdurchsicht</w:t>
      </w:r>
    </w:p>
    <w:p>
      <w:pPr>
        <w:spacing w:line="259" w:lineRule="auto" w:after="60"/>
        <w:jc w:val="left"/>
      </w:pPr>
      <w:r>
        <w:t>Der Bescheid stützt sich fast ausschließlich auf die Stellenbezeichnung und die Anteile Controlling und Reporting in der Stellenbeschreibung vom 15.02.2024. Nicht gewürdigt sind die vom Arbeitgeber bestätigten Tätigkeitsanteile Entwurfskoordination, Prüfung von Ausführungsplänen und verantwortliche interne Planfreigaben. Die tatsächliche Gewichtung im Arbeitsalltag ist der zentrale Streitpunkt und muss mit Arbeitgeberbestätigung, Projektliste und gegebenenfalls Zeugen unterlegt werden. Zu klären ist auch, was mit den seit März 2024 doppelt gezahlten Beiträgen geschieht, wenn die Befreiung rückwirkend gelingt oder endgültig scheitert.</w:t>
      </w:r>
    </w:p>
    <w:p>
      <w:pPr>
        <w:pStyle w:val="Heading2"/>
        <w:spacing w:line="259" w:lineRule="auto" w:after="60"/>
      </w:pPr>
      <w:r>
        <w:rPr>
          <w:rFonts w:ascii="Times New Roman" w:hAnsi="Times New Roman"/>
        </w:rPr>
        <w:t>Arbeitsauftrag</w:t>
      </w:r>
    </w:p>
    <w:p>
      <w:pPr>
        <w:pStyle w:val="ListNumber"/>
        <w:spacing w:line="259" w:lineRule="auto" w:after="60"/>
      </w:pPr>
      <w:r>
        <w:t>Klage gegen den Bescheid vom 08.05.2026 in Gestalt des Widerspruchsbescheids vom 10.06.2026 fristgerecht erheben.</w:t>
      </w:r>
    </w:p>
    <w:p>
      <w:pPr>
        <w:pStyle w:val="ListNumber"/>
        <w:spacing w:line="259" w:lineRule="auto" w:after="60"/>
      </w:pPr>
      <w:r>
        <w:t>Tatsächliche Tätigkeit substantiiert darlegen: Arbeitgeberbestätigung, Stellenbeschreibung, Projektliste, Organigramm, Kammer- und Versorgungswerksunterlagen zusammenführen.</w:t>
      </w:r>
    </w:p>
    <w:p>
      <w:pPr>
        <w:pStyle w:val="ListNumber"/>
        <w:spacing w:line="259" w:lineRule="auto" w:after="60"/>
      </w:pPr>
      <w:r>
        <w:t>Beitragsfluss seit März 2024 dokumentieren und die Erstattungsfrage für beide Richtungen vorbereiten.</w:t>
      </w:r>
    </w:p>
    <w:p>
      <w:pPr>
        <w:pStyle w:val="ListNumber"/>
        <w:spacing w:line="259" w:lineRule="auto" w:after="60"/>
      </w:pPr>
      <w:r>
        <w:t>Mandanten zur vorläufigen Weiterzahlung an beide Systeme beraten, um Nachteile während des Verfahrens zu vermeiden.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