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Stellenbeschreibung Projektleiter Hochbau</w:t>
      </w:r>
    </w:p>
    <w:p>
      <w:pPr>
        <w:spacing w:before="120" w:after="60" w:line="259" w:lineRule="auto"/>
        <w:jc w:val="left"/>
      </w:pPr>
      <w:r>
        <w:rPr>
          <w:rFonts w:ascii="Times New Roman" w:hAnsi="Times New Roman"/>
          <w:b/>
          <w:sz w:val="22"/>
        </w:rPr>
        <w:t>Stein &amp; Hofmann Projektsteuerung GmbH, Bismarckallee 9, 79098 Freiburg</w:t>
      </w:r>
    </w:p>
    <w:p>
      <w:pPr>
        <w:spacing w:line="259" w:lineRule="auto" w:after="60"/>
        <w:jc w:val="left"/>
      </w:pPr>
      <w:r>
        <w:t>Interne Stellenbeschreibung, Stand 15.02.2024, erstellt von der Personalabteilung (Frau Deggelmann) für die Stelle von Herrn Nils Rademacher</w:t>
      </w:r>
    </w:p>
    <w:p>
      <w:pPr>
        <w:pStyle w:val="Heading2"/>
        <w:spacing w:before="120" w:after="60" w:line="259" w:lineRule="auto"/>
      </w:pPr>
      <w:r>
        <w:rPr>
          <w:rFonts w:ascii="Times New Roman" w:hAnsi="Times New Roman"/>
          <w:b/>
          <w:sz w:val="22"/>
        </w:rPr>
        <w:t>Einordnung</w:t>
      </w:r>
    </w:p>
    <w:p>
      <w:pPr>
        <w:spacing w:line="259" w:lineRule="auto" w:after="60"/>
        <w:jc w:val="left"/>
      </w:pPr>
      <w:r>
        <w:t>Die Stelle ist dem Geschäftsbereich Projektsteuerung Süd zugeordnet und berichtet an den Bereichsleiter, Herrn Dipl.-Ing. Hofmann. Dem Stelleninhaber sind keine Mitarbeiter unterstellt; er führt fachlich die externen Planungsbeteiligten der ihm zugewiesenen Projekte.</w:t>
      </w:r>
    </w:p>
    <w:p>
      <w:pPr>
        <w:pStyle w:val="Heading2"/>
        <w:spacing w:before="120" w:after="60" w:line="259" w:lineRule="auto"/>
      </w:pPr>
      <w:r>
        <w:rPr>
          <w:rFonts w:ascii="Times New Roman" w:hAnsi="Times New Roman"/>
          <w:b/>
          <w:sz w:val="22"/>
        </w:rPr>
        <w:t>Aufgabenanteile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Aufgabenbereich</w:t>
            </w:r>
          </w:p>
        </w:tc>
        <w:tc>
          <w:tcPr>
            <w:tcW w:type="dxa" w:w="4536"/>
          </w:tcPr>
          <w:p>
            <w:r>
              <w:rPr>
                <w:rFonts w:ascii="Times New Roman" w:hAnsi="Times New Roman"/>
                <w:b/>
                <w:sz w:val="20"/>
              </w:rPr>
              <w:t>Anteil an der Arbeitszeit</w:t>
            </w:r>
          </w:p>
        </w:tc>
      </w:tr>
      <w:tr>
        <w:tc>
          <w:tcPr>
            <w:tcW w:type="dxa" w:w="4536"/>
          </w:tcPr>
          <w:p>
            <w:r>
              <w:rPr>
                <w:rFonts w:ascii="Times New Roman" w:hAnsi="Times New Roman"/>
                <w:sz w:val="20"/>
              </w:rPr>
              <w:t>Entwurfskoordination und fachliche Planprüfung (Entwurfs-, Genehmigungs- und Ausführungspläne)</w:t>
            </w:r>
          </w:p>
        </w:tc>
        <w:tc>
          <w:tcPr>
            <w:tcW w:type="dxa" w:w="4536"/>
          </w:tcPr>
          <w:p>
            <w:r>
              <w:rPr>
                <w:rFonts w:ascii="Times New Roman" w:hAnsi="Times New Roman"/>
                <w:sz w:val="20"/>
              </w:rPr>
              <w:t>25 Prozent</w:t>
            </w:r>
          </w:p>
        </w:tc>
      </w:tr>
      <w:tr>
        <w:tc>
          <w:tcPr>
            <w:tcW w:type="dxa" w:w="4536"/>
          </w:tcPr>
          <w:p>
            <w:r>
              <w:rPr>
                <w:rFonts w:ascii="Times New Roman" w:hAnsi="Times New Roman"/>
                <w:sz w:val="20"/>
              </w:rPr>
              <w:t>Kosten- und Terminsteuerung</w:t>
            </w:r>
          </w:p>
        </w:tc>
        <w:tc>
          <w:tcPr>
            <w:tcW w:type="dxa" w:w="4536"/>
          </w:tcPr>
          <w:p>
            <w:r>
              <w:rPr>
                <w:rFonts w:ascii="Times New Roman" w:hAnsi="Times New Roman"/>
                <w:sz w:val="20"/>
              </w:rPr>
              <w:t>25 Prozent</w:t>
            </w:r>
          </w:p>
        </w:tc>
      </w:tr>
      <w:tr>
        <w:tc>
          <w:tcPr>
            <w:tcW w:type="dxa" w:w="4536"/>
          </w:tcPr>
          <w:p>
            <w:r>
              <w:rPr>
                <w:rFonts w:ascii="Times New Roman" w:hAnsi="Times New Roman"/>
                <w:sz w:val="20"/>
              </w:rPr>
              <w:t>Abstimmung mit Bauherren, Behörden und Fachplanern, Besprechungswesen</w:t>
            </w:r>
          </w:p>
        </w:tc>
        <w:tc>
          <w:tcPr>
            <w:tcW w:type="dxa" w:w="4536"/>
          </w:tcPr>
          <w:p>
            <w:r>
              <w:rPr>
                <w:rFonts w:ascii="Times New Roman" w:hAnsi="Times New Roman"/>
                <w:sz w:val="20"/>
              </w:rPr>
              <w:t>20 Prozent</w:t>
            </w:r>
          </w:p>
        </w:tc>
      </w:tr>
      <w:tr>
        <w:tc>
          <w:tcPr>
            <w:tcW w:type="dxa" w:w="4536"/>
          </w:tcPr>
          <w:p>
            <w:r>
              <w:rPr>
                <w:rFonts w:ascii="Times New Roman" w:hAnsi="Times New Roman"/>
                <w:sz w:val="20"/>
              </w:rPr>
              <w:t>Controlling und Reporting (Projektberichte, Kostenverfolgungslisten, Gremienvorlagen)</w:t>
            </w:r>
          </w:p>
        </w:tc>
        <w:tc>
          <w:tcPr>
            <w:tcW w:type="dxa" w:w="4536"/>
          </w:tcPr>
          <w:p>
            <w:r>
              <w:rPr>
                <w:rFonts w:ascii="Times New Roman" w:hAnsi="Times New Roman"/>
                <w:sz w:val="20"/>
              </w:rPr>
              <w:t>20 Prozent</w:t>
            </w:r>
          </w:p>
        </w:tc>
      </w:tr>
      <w:tr>
        <w:tc>
          <w:tcPr>
            <w:tcW w:type="dxa" w:w="4536"/>
          </w:tcPr>
          <w:p>
            <w:r>
              <w:rPr>
                <w:rFonts w:ascii="Times New Roman" w:hAnsi="Times New Roman"/>
                <w:sz w:val="20"/>
              </w:rPr>
              <w:t>Allgemeine Projektmanagementaufgaben, Vergabeunterstützung, Sonstiges</w:t>
            </w:r>
          </w:p>
        </w:tc>
        <w:tc>
          <w:tcPr>
            <w:tcW w:type="dxa" w:w="4536"/>
          </w:tcPr>
          <w:p>
            <w:r>
              <w:rPr>
                <w:rFonts w:ascii="Times New Roman" w:hAnsi="Times New Roman"/>
                <w:sz w:val="20"/>
              </w:rPr>
              <w:t>10 Prozent</w:t>
            </w:r>
          </w:p>
        </w:tc>
      </w:tr>
    </w:tbl>
    <w:p>
      <w:pPr>
        <w:pStyle w:val="Heading2"/>
        <w:spacing w:before="120" w:after="60" w:line="259" w:lineRule="auto"/>
      </w:pPr>
      <w:r>
        <w:rPr>
          <w:rFonts w:ascii="Times New Roman" w:hAnsi="Times New Roman"/>
          <w:b/>
          <w:sz w:val="22"/>
        </w:rPr>
        <w:t>Anforderungsprofil</w:t>
      </w:r>
    </w:p>
    <w:p>
      <w:pPr>
        <w:spacing w:line="259" w:lineRule="auto" w:after="60"/>
        <w:jc w:val="left"/>
      </w:pPr>
      <w:r>
        <w:t>Abgeschlossenes Studium der Architektur oder des Bauingenieurwesens; Eintragung in eine Architekten- oder Ingenieurkammer erwünscht, aber nicht Einstellungsvoraussetzung. Mehrjährige Erfahrung in der Planung oder Steuerung von Hochbauprojekten. Sicherer Umgang mit AVA- und Terminplanungssoftware.</w:t>
      </w:r>
    </w:p>
    <w:p>
      <w:pPr>
        <w:pStyle w:val="Heading2"/>
        <w:spacing w:line="259" w:lineRule="auto" w:after="60"/>
      </w:pPr>
      <w:r>
        <w:rPr>
          <w:rFonts w:ascii="Times New Roman" w:hAnsi="Times New Roman"/>
        </w:rPr>
        <w:t>Anmerkung der Personalabteilung</w:t>
      </w:r>
    </w:p>
    <w:p>
      <w:pPr>
        <w:spacing w:line="259" w:lineRule="auto" w:after="60"/>
        <w:jc w:val="left"/>
      </w:pPr>
      <w:r>
        <w:t>Die Anteile beruhen auf der Kalkulation der Stelle bei ihrer Einrichtung im Jahr 2021 und wurden für Herrn Rademacher unverändert übernommen. Eine tätigkeitsbezogene Fortschreibung nach Aufnahme der Arbeit ist bisher nicht erfolgt.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