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Vermerk zur Einkommenslage der Mandantin</w:t>
      </w:r>
    </w:p>
    <w:p>
      <w:pPr>
        <w:spacing w:before="120" w:after="60" w:line="259" w:lineRule="auto"/>
        <w:jc w:val="left"/>
      </w:pPr>
      <w:r>
        <w:rPr>
          <w:rFonts w:ascii="Times New Roman" w:hAnsi="Times New Roman"/>
          <w:b/>
          <w:sz w:val="22"/>
        </w:rPr>
        <w:t>Bearbeiterin: Rentenberaterin Frauke Jessen</w:t>
      </w:r>
    </w:p>
    <w:p>
      <w:pPr>
        <w:spacing w:before="120" w:after="60" w:line="259" w:lineRule="auto"/>
        <w:jc w:val="left"/>
      </w:pPr>
      <w:r>
        <w:rPr>
          <w:rFonts w:ascii="Times New Roman" w:hAnsi="Times New Roman"/>
          <w:b/>
          <w:sz w:val="22"/>
        </w:rPr>
        <w:t>Mandat: Thormählen ./. DRV Nord, Witwenrente</w:t>
      </w:r>
    </w:p>
    <w:p>
      <w:pPr>
        <w:spacing w:before="120" w:after="60" w:line="259" w:lineRule="auto"/>
        <w:jc w:val="left"/>
      </w:pPr>
      <w:r>
        <w:rPr>
          <w:rFonts w:ascii="Times New Roman" w:hAnsi="Times New Roman"/>
          <w:b w:val="0"/>
          <w:i w:val="0"/>
          <w:sz w:val="22"/>
        </w:rPr>
        <w:t>Datum: 30.06.2026</w:t>
      </w:r>
    </w:p>
    <w:p>
      <w:pPr>
        <w:pStyle w:val="Heading2"/>
        <w:spacing w:before="120" w:after="60" w:line="259" w:lineRule="auto"/>
      </w:pPr>
      <w:r>
        <w:rPr>
          <w:rFonts w:ascii="Times New Roman" w:hAnsi="Times New Roman"/>
          <w:b/>
          <w:sz w:val="22"/>
        </w:rPr>
        <w:t>Übersicht der drei Einkommensarten</w:t>
      </w:r>
    </w:p>
    <w:p>
      <w:pPr>
        <w:spacing w:line="259" w:lineRule="auto" w:after="60"/>
        <w:jc w:val="left"/>
      </w:pPr>
      <w:r>
        <w:t>Die Deutsche Rentenversicherung Nord hat im Bescheid vom 18.06.2026 drei Einkommensarten der Mandantin in einem einzigen Anrechnungsbetrag von 458,44 EUR zusammengeführt, ohne die Zwischenschritte auszuweisen. Für den Widerspruch sind die Einkommensarten getrennt aufzuarbeiten. Die Belege liegen der Akte bei.</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Einkommensart</w:t>
            </w:r>
          </w:p>
        </w:tc>
        <w:tc>
          <w:tcPr>
            <w:tcW w:type="dxa" w:w="3024"/>
          </w:tcPr>
          <w:p>
            <w:r>
              <w:rPr>
                <w:rFonts w:ascii="Times New Roman" w:hAnsi="Times New Roman"/>
                <w:b/>
                <w:sz w:val="20"/>
              </w:rPr>
              <w:t>Beleg</w:t>
            </w:r>
          </w:p>
        </w:tc>
        <w:tc>
          <w:tcPr>
            <w:tcW w:type="dxa" w:w="3024"/>
          </w:tcPr>
          <w:p>
            <w:r>
              <w:rPr>
                <w:rFonts w:ascii="Times New Roman" w:hAnsi="Times New Roman"/>
                <w:b/>
                <w:sz w:val="20"/>
              </w:rPr>
              <w:t>Monatsbetrag brutto</w:t>
            </w:r>
          </w:p>
        </w:tc>
      </w:tr>
      <w:tr>
        <w:tc>
          <w:tcPr>
            <w:tcW w:type="dxa" w:w="3024"/>
          </w:tcPr>
          <w:p>
            <w:r>
              <w:rPr>
                <w:rFonts w:ascii="Times New Roman" w:hAnsi="Times New Roman"/>
                <w:sz w:val="20"/>
              </w:rPr>
              <w:t>Arbeitsentgelt St. Jürgen Pflege gGmbH</w:t>
            </w:r>
          </w:p>
        </w:tc>
        <w:tc>
          <w:tcPr>
            <w:tcW w:type="dxa" w:w="3024"/>
          </w:tcPr>
          <w:p>
            <w:r>
              <w:rPr>
                <w:rFonts w:ascii="Times New Roman" w:hAnsi="Times New Roman"/>
                <w:sz w:val="20"/>
              </w:rPr>
              <w:t>Arbeitgeberbescheinigung vom 24.06.2026 (Aktenstück 08)</w:t>
            </w:r>
          </w:p>
        </w:tc>
        <w:tc>
          <w:tcPr>
            <w:tcW w:type="dxa" w:w="3024"/>
          </w:tcPr>
          <w:p>
            <w:r>
              <w:rPr>
                <w:rFonts w:ascii="Times New Roman" w:hAnsi="Times New Roman"/>
                <w:sz w:val="20"/>
              </w:rPr>
              <w:t>2.240,00 EUR Grundentgelt zzgl. schwankender Zulagen</w:t>
            </w:r>
          </w:p>
        </w:tc>
      </w:tr>
      <w:tr>
        <w:tc>
          <w:tcPr>
            <w:tcW w:type="dxa" w:w="3024"/>
          </w:tcPr>
          <w:p>
            <w:r>
              <w:rPr>
                <w:rFonts w:ascii="Times New Roman" w:hAnsi="Times New Roman"/>
                <w:sz w:val="20"/>
              </w:rPr>
              <w:t>Betriebsrente Hanseatische Zusatzversorgungskasse</w:t>
            </w:r>
          </w:p>
        </w:tc>
        <w:tc>
          <w:tcPr>
            <w:tcW w:type="dxa" w:w="3024"/>
          </w:tcPr>
          <w:p>
            <w:r>
              <w:rPr>
                <w:rFonts w:ascii="Times New Roman" w:hAnsi="Times New Roman"/>
                <w:sz w:val="20"/>
              </w:rPr>
              <w:t>Mitteilung vom 12.06.2026 (Aktenstück 11)</w:t>
            </w:r>
          </w:p>
        </w:tc>
        <w:tc>
          <w:tcPr>
            <w:tcW w:type="dxa" w:w="3024"/>
          </w:tcPr>
          <w:p>
            <w:r>
              <w:rPr>
                <w:rFonts w:ascii="Times New Roman" w:hAnsi="Times New Roman"/>
                <w:sz w:val="20"/>
              </w:rPr>
              <w:t>146,80 EUR</w:t>
            </w:r>
          </w:p>
        </w:tc>
      </w:tr>
      <w:tr>
        <w:tc>
          <w:tcPr>
            <w:tcW w:type="dxa" w:w="3024"/>
          </w:tcPr>
          <w:p>
            <w:r>
              <w:rPr>
                <w:rFonts w:ascii="Times New Roman" w:hAnsi="Times New Roman"/>
                <w:sz w:val="20"/>
              </w:rPr>
              <w:t>Private Sofortrente HL-Leben, Vertrag 7718-2021</w:t>
            </w:r>
          </w:p>
        </w:tc>
        <w:tc>
          <w:tcPr>
            <w:tcW w:type="dxa" w:w="3024"/>
          </w:tcPr>
          <w:p>
            <w:r>
              <w:rPr>
                <w:rFonts w:ascii="Times New Roman" w:hAnsi="Times New Roman"/>
                <w:sz w:val="20"/>
              </w:rPr>
              <w:t>Leistungsmitteilung vom 10.06.2026 (Aktenstück 12)</w:t>
            </w:r>
          </w:p>
        </w:tc>
        <w:tc>
          <w:tcPr>
            <w:tcW w:type="dxa" w:w="3024"/>
          </w:tcPr>
          <w:p>
            <w:r>
              <w:rPr>
                <w:rFonts w:ascii="Times New Roman" w:hAnsi="Times New Roman"/>
                <w:sz w:val="20"/>
              </w:rPr>
              <w:t>238,44 EUR</w:t>
            </w:r>
          </w:p>
        </w:tc>
      </w:tr>
    </w:tbl>
    <w:p>
      <w:pPr>
        <w:pStyle w:val="Heading2"/>
        <w:spacing w:before="120" w:after="60" w:line="259" w:lineRule="auto"/>
      </w:pPr>
      <w:r>
        <w:rPr>
          <w:rFonts w:ascii="Times New Roman" w:hAnsi="Times New Roman"/>
          <w:b/>
          <w:sz w:val="22"/>
        </w:rPr>
        <w:t>Arbeitsentgelt</w:t>
      </w:r>
    </w:p>
    <w:p>
      <w:pPr>
        <w:spacing w:line="259" w:lineRule="auto" w:after="60"/>
        <w:jc w:val="left"/>
      </w:pPr>
      <w:r>
        <w:t>Die Mandantin ist seit dem 01.03.2020 als Küchenleitung mit 28 Wochenstunden bei der St. Jürgen Pflege gGmbH beschäftigt. Das Grundentgelt beträgt seit dem 01.04.2026 monatlich 2.240,00 EUR. Hinzu kommen eine Funktionszulage, im Durchschnitt geringe Sonntagszuschläge sowie eine vermögenswirksame Leistung des Arbeitgebers. Die Jahressonderzahlung von voraussichtlich 1.150,00 EUR wird nur gezahlt, wenn das Arbeitsverhältnis am 30.11.2026 besteht. Das im Juli 2026 gezahlte Urlaubsgeld von 350,00 EUR ist eine jährliche Einmalzahlung. Für den Widerspruch ist zu klären, welches Bruttoentgelt die DRV der pauschalen Nettoermittlung zugrunde gelegt hat und ob Einmalzahlungen in den laufenden Monatswert eingeflossen sind.</w:t>
      </w:r>
    </w:p>
    <w:p>
      <w:pPr>
        <w:pStyle w:val="Heading2"/>
        <w:spacing w:line="259" w:lineRule="auto" w:after="60"/>
      </w:pPr>
      <w:r>
        <w:rPr>
          <w:rFonts w:ascii="Times New Roman" w:hAnsi="Times New Roman"/>
        </w:rPr>
        <w:t>Betriebsrente der Hanseatischen Zusatzversorgungskasse</w:t>
      </w:r>
    </w:p>
    <w:p>
      <w:pPr>
        <w:spacing w:line="259" w:lineRule="auto" w:after="60"/>
        <w:jc w:val="left"/>
      </w:pPr>
      <w:r>
        <w:t>Die Mandantin bezieht aus einer eigenen früheren Beschäftigung bei der Sparkasse Lübeck eine laufende Betriebsrente von 146,80 EUR brutto monatlich; der Auszahlungsbetrag nach Beitragsabzug beträgt 124,91 EUR. Es handelt sich ausdrücklich nicht um eine Hinterbliebenenversorgung, sondern um eine eigene Altersleistung der Mandantin. Von dieser Leistung ist die Witwenversorgung der HansePort Versorgungskasse aus der betrieblichen Altersversorgung des Verstorbenen (184,60 EUR brutto, Aktenstück 09) strikt zu unterscheiden; letztere ist im Bescheid nicht als Einkommen aufgeführt.</w:t>
      </w:r>
    </w:p>
    <w:p>
      <w:pPr>
        <w:pStyle w:val="Heading2"/>
        <w:spacing w:line="259" w:lineRule="auto" w:after="60"/>
      </w:pPr>
      <w:r>
        <w:rPr>
          <w:rFonts w:ascii="Times New Roman" w:hAnsi="Times New Roman"/>
        </w:rPr>
        <w:t>Private Sofortrente</w:t>
      </w:r>
    </w:p>
    <w:p>
      <w:pPr>
        <w:spacing w:line="259" w:lineRule="auto" w:after="60"/>
        <w:jc w:val="left"/>
      </w:pPr>
      <w:r>
        <w:t>Die Mandantin erhält seit dem 01.11.2021 aus dem Vertrag HL-Leben 7718-2021 eine garantierte, nicht dynamisierte lebenslange Sofortrente von 238,44 EUR monatlich. Der Vertrag wurde durch eine Einmalzahlung von 72.000,00 EUR finanziert, die aus dem Verkauf eines geerbten Reihenhauses in Bad Schwartau stammte. Im Widerspruch ist zu klären, ob die DRV die volle Monatsrente oder nur einen Teil als Einkommen angesetzt hat und wie die Leistung rentenrechtlich einzuordnen ist.</w:t>
      </w:r>
    </w:p>
    <w:p>
      <w:pPr>
        <w:pStyle w:val="Heading2"/>
        <w:spacing w:line="259" w:lineRule="auto" w:after="60"/>
      </w:pPr>
      <w:r>
        <w:rPr>
          <w:rFonts w:ascii="Times New Roman" w:hAnsi="Times New Roman"/>
        </w:rPr>
        <w:t>Streitlinie für den Widerspruch</w:t>
      </w:r>
    </w:p>
    <w:p>
      <w:pPr>
        <w:pStyle w:val="ListNumber"/>
        <w:spacing w:line="259" w:lineRule="auto" w:after="60"/>
      </w:pPr>
      <w:r>
        <w:t>Arbeitsentgelt: verwendetes Bruttoentgelt, pauschale Nettoermittlung, Behandlung von Einmalzahlungen und schwankenden Zuschlägen.</w:t>
      </w:r>
    </w:p>
    <w:p>
      <w:pPr>
        <w:pStyle w:val="ListNumber"/>
        <w:spacing w:line="259" w:lineRule="auto" w:after="60"/>
      </w:pPr>
      <w:r>
        <w:t>Betriebsrente: Einordnung als wiederkehrende Versorgungsleistung und Abgrenzung zur nicht anrechenbaren Witwenversorgung der HansePort Versorgungskasse.</w:t>
      </w:r>
    </w:p>
    <w:p>
      <w:pPr>
        <w:pStyle w:val="ListNumber"/>
        <w:spacing w:line="259" w:lineRule="auto" w:after="60"/>
      </w:pPr>
      <w:r>
        <w:t>Private Sofortrente: Umfang der Berücksichtigung angesichts der Finanzierung aus ererbtem Vermögen; die Mandantin geht davon aus, dass nur ein geringer Teil zählt.</w:t>
      </w:r>
    </w:p>
    <w:p>
      <w:pPr>
        <w:pStyle w:val="ListNumber"/>
        <w:spacing w:line="259" w:lineRule="auto" w:after="60"/>
      </w:pPr>
      <w:r>
        <w:t>Freibetrag: Höhe des angesetzten Freibetrags und rechnerische Herleitung des Anrechnungsbetrags von 458,44 EUR.</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Rentenberatung Jessen &amp; Kollegium | Renten- und Versorgungsakte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