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Arbeitgeberbescheinigung und Lohnabrechnung</w:t>
      </w:r>
    </w:p>
    <w:p>
      <w:pPr>
        <w:spacing w:before="120" w:after="60" w:line="259" w:lineRule="auto"/>
        <w:jc w:val="left"/>
      </w:pPr>
      <w:r>
        <w:rPr>
          <w:rFonts w:ascii="Times New Roman" w:hAnsi="Times New Roman"/>
          <w:b/>
          <w:sz w:val="22"/>
        </w:rPr>
        <w:t>St. Jürgen Pflege gGmbH – Personalservice</w:t>
      </w:r>
    </w:p>
    <w:p>
      <w:pPr>
        <w:spacing w:before="120" w:after="60" w:line="259" w:lineRule="auto"/>
        <w:jc w:val="left"/>
      </w:pPr>
      <w:r>
        <w:rPr>
          <w:rFonts w:ascii="Times New Roman" w:hAnsi="Times New Roman"/>
          <w:b/>
          <w:sz w:val="22"/>
        </w:rPr>
        <w:t>Ratzeburger Allee 34, 23562 Lübeck</w:t>
      </w:r>
    </w:p>
    <w:p>
      <w:pPr>
        <w:spacing w:before="120" w:after="60" w:line="259" w:lineRule="auto"/>
        <w:jc w:val="left"/>
      </w:pPr>
      <w:r>
        <w:rPr>
          <w:rFonts w:ascii="Times New Roman" w:hAnsi="Times New Roman"/>
          <w:b/>
          <w:sz w:val="22"/>
        </w:rPr>
        <w:t>Telefon: 0451 5808-112 | personal@stjuergen-pflege.example</w:t>
      </w:r>
    </w:p>
    <w:p>
      <w:pPr>
        <w:spacing w:before="120" w:after="60" w:line="259" w:lineRule="auto"/>
        <w:jc w:val="left"/>
      </w:pPr>
      <w:r>
        <w:rPr>
          <w:rFonts w:ascii="Times New Roman" w:hAnsi="Times New Roman"/>
          <w:b/>
          <w:sz w:val="22"/>
        </w:rPr>
        <w:t>Arbeitnehmerin: Marlies Thormählen, Küchenleitung Haus Möwenblick</w:t>
      </w:r>
    </w:p>
    <w:p>
      <w:pPr>
        <w:spacing w:before="120" w:after="60" w:line="259" w:lineRule="auto"/>
        <w:jc w:val="left"/>
      </w:pPr>
      <w:r>
        <w:rPr>
          <w:rFonts w:ascii="Times New Roman" w:hAnsi="Times New Roman"/>
          <w:b/>
          <w:sz w:val="22"/>
        </w:rPr>
        <w:t>Personalnummer: 4187</w:t>
      </w:r>
    </w:p>
    <w:p>
      <w:pPr>
        <w:spacing w:before="120" w:after="60" w:line="259" w:lineRule="auto"/>
        <w:jc w:val="left"/>
      </w:pPr>
      <w:r>
        <w:rPr>
          <w:rFonts w:ascii="Times New Roman" w:hAnsi="Times New Roman"/>
          <w:b/>
          <w:sz w:val="22"/>
        </w:rPr>
        <w:t>Ausgestellt am: 24.06.2026</w:t>
      </w:r>
    </w:p>
    <w:p>
      <w:pPr>
        <w:spacing w:before="120" w:after="60" w:line="259" w:lineRule="auto"/>
        <w:jc w:val="left"/>
      </w:pPr>
      <w:r>
        <w:rPr>
          <w:rFonts w:ascii="Times New Roman" w:hAnsi="Times New Roman"/>
          <w:b/>
          <w:sz w:val="22"/>
        </w:rPr>
        <w:t>Ausgestellt durch: Frau Kareen Nold, Personalabteilung</w:t>
      </w:r>
    </w:p>
    <w:p>
      <w:pPr>
        <w:spacing w:line="259" w:lineRule="auto" w:after="60"/>
        <w:jc w:val="left"/>
      </w:pPr>
      <w:r>
        <w:rPr>
          <w:b/>
        </w:rPr>
        <w:t>Bescheinigung für den Rentenversicherungsträger</w:t>
      </w:r>
    </w:p>
    <w:p>
      <w:pPr>
        <w:pStyle w:val="Heading2"/>
        <w:spacing w:line="259" w:lineRule="auto" w:after="60"/>
      </w:pPr>
      <w:r>
        <w:rPr>
          <w:rFonts w:ascii="Times New Roman" w:hAnsi="Times New Roman"/>
        </w:rPr>
        <w:t>Beschäftigung</w:t>
      </w:r>
    </w:p>
    <w:p>
      <w:pPr>
        <w:spacing w:line="259" w:lineRule="auto" w:after="60"/>
        <w:jc w:val="left"/>
      </w:pPr>
      <w:r>
        <w:t>Frau Thormählen ist seit dem 01.03.2020 als Küchenleitung mit einer Regelarbeitszeit von 28 Wochenstunden unbefristet beschäftigt. Das Grundentgelt beträgt seit dem 01.04.2026 monatlich 2.240,00 EUR. Seit dem Tod ihres Ehemannes arbeitet Frau Thormählen nach Abstimmung mit der Hausleitung überwiegend im Frühdienst, weil sie abends ihre Schwiegermutter in Bad Schwartau versorgt. Die Zuschläge schwanken wegen Diensttausch, Ausfallvertretungen und Feiertagsdiensten von Monat zu Monat.</w:t>
      </w:r>
    </w:p>
    <w:p>
      <w:pPr>
        <w:spacing w:line="259" w:lineRule="auto" w:after="60"/>
        <w:jc w:val="left"/>
      </w:pPr>
      <w:r>
        <w:t>Für die Rentenstelle bestätigen wir folgende laufende Bruttoentgelte:</w:t>
      </w:r>
    </w:p>
    <w:tbl>
      <w:tblPr>
        <w:tblStyle w:val="TableGrid"/>
        <w:tblW w:type="auto" w:w="0"/>
        <w:tblLook w:firstColumn="1" w:firstRow="1" w:lastColumn="0" w:lastRow="0" w:noHBand="0" w:noVBand="1" w:val="04A0"/>
      </w:tblPr>
      <w:tblGrid>
        <w:gridCol w:w="1296"/>
        <w:gridCol w:w="1296"/>
        <w:gridCol w:w="1296"/>
        <w:gridCol w:w="1296"/>
        <w:gridCol w:w="1296"/>
        <w:gridCol w:w="1296"/>
        <w:gridCol w:w="1296"/>
      </w:tblGrid>
      <w:tr>
        <w:tc>
          <w:tcPr>
            <w:tcW w:type="dxa" w:w="1296"/>
          </w:tcPr>
          <w:p>
            <w:r>
              <w:rPr>
                <w:rFonts w:ascii="Times New Roman" w:hAnsi="Times New Roman"/>
                <w:b/>
                <w:sz w:val="20"/>
              </w:rPr>
              <w:t>Monat</w:t>
            </w:r>
          </w:p>
        </w:tc>
        <w:tc>
          <w:tcPr>
            <w:tcW w:type="dxa" w:w="1296"/>
          </w:tcPr>
          <w:p>
            <w:r>
              <w:rPr>
                <w:rFonts w:ascii="Times New Roman" w:hAnsi="Times New Roman"/>
                <w:b/>
                <w:sz w:val="20"/>
              </w:rPr>
              <w:t>Grundentgelt</w:t>
            </w:r>
          </w:p>
        </w:tc>
        <w:tc>
          <w:tcPr>
            <w:tcW w:type="dxa" w:w="1296"/>
          </w:tcPr>
          <w:p>
            <w:r>
              <w:rPr>
                <w:rFonts w:ascii="Times New Roman" w:hAnsi="Times New Roman"/>
                <w:b/>
                <w:sz w:val="20"/>
              </w:rPr>
              <w:t>Funktionszulage</w:t>
            </w:r>
          </w:p>
        </w:tc>
        <w:tc>
          <w:tcPr>
            <w:tcW w:type="dxa" w:w="1296"/>
          </w:tcPr>
          <w:p>
            <w:r>
              <w:rPr>
                <w:rFonts w:ascii="Times New Roman" w:hAnsi="Times New Roman"/>
                <w:b/>
                <w:sz w:val="20"/>
              </w:rPr>
              <w:t>Zuschläge steuerfrei</w:t>
            </w:r>
          </w:p>
        </w:tc>
        <w:tc>
          <w:tcPr>
            <w:tcW w:type="dxa" w:w="1296"/>
          </w:tcPr>
          <w:p>
            <w:r>
              <w:rPr>
                <w:rFonts w:ascii="Times New Roman" w:hAnsi="Times New Roman"/>
                <w:b/>
                <w:sz w:val="20"/>
              </w:rPr>
              <w:t>Zuschläge steuerpflichtig</w:t>
            </w:r>
          </w:p>
        </w:tc>
        <w:tc>
          <w:tcPr>
            <w:tcW w:type="dxa" w:w="1296"/>
          </w:tcPr>
          <w:p>
            <w:r>
              <w:rPr>
                <w:rFonts w:ascii="Times New Roman" w:hAnsi="Times New Roman"/>
                <w:b/>
                <w:sz w:val="20"/>
              </w:rPr>
              <w:t>Einmalzahlung</w:t>
            </w:r>
          </w:p>
        </w:tc>
        <w:tc>
          <w:tcPr>
            <w:tcW w:type="dxa" w:w="1296"/>
          </w:tcPr>
          <w:p>
            <w:r>
              <w:rPr>
                <w:rFonts w:ascii="Times New Roman" w:hAnsi="Times New Roman"/>
                <w:b/>
                <w:sz w:val="20"/>
              </w:rPr>
              <w:t>Gesamtbrutto</w:t>
            </w:r>
          </w:p>
        </w:tc>
      </w:tr>
      <w:tr>
        <w:tc>
          <w:tcPr>
            <w:tcW w:type="dxa" w:w="1296"/>
          </w:tcPr>
          <w:p>
            <w:r>
              <w:rPr>
                <w:rFonts w:ascii="Times New Roman" w:hAnsi="Times New Roman"/>
                <w:sz w:val="20"/>
              </w:rPr>
              <w:t>Mai 2026</w:t>
            </w:r>
          </w:p>
        </w:tc>
        <w:tc>
          <w:tcPr>
            <w:tcW w:type="dxa" w:w="1296"/>
          </w:tcPr>
          <w:p>
            <w:r>
              <w:rPr>
                <w:rFonts w:ascii="Times New Roman" w:hAnsi="Times New Roman"/>
                <w:sz w:val="20"/>
              </w:rPr>
              <w:t>2.240,00 EUR</w:t>
            </w:r>
          </w:p>
        </w:tc>
        <w:tc>
          <w:tcPr>
            <w:tcW w:type="dxa" w:w="1296"/>
          </w:tcPr>
          <w:p>
            <w:r>
              <w:rPr>
                <w:rFonts w:ascii="Times New Roman" w:hAnsi="Times New Roman"/>
                <w:sz w:val="20"/>
              </w:rPr>
              <w:t>110,00 EUR</w:t>
            </w:r>
          </w:p>
        </w:tc>
        <w:tc>
          <w:tcPr>
            <w:tcW w:type="dxa" w:w="1296"/>
          </w:tcPr>
          <w:p>
            <w:r>
              <w:rPr>
                <w:rFonts w:ascii="Times New Roman" w:hAnsi="Times New Roman"/>
                <w:sz w:val="20"/>
              </w:rPr>
              <w:t>92,80 EUR</w:t>
            </w:r>
          </w:p>
        </w:tc>
        <w:tc>
          <w:tcPr>
            <w:tcW w:type="dxa" w:w="1296"/>
          </w:tcPr>
          <w:p>
            <w:r>
              <w:rPr>
                <w:rFonts w:ascii="Times New Roman" w:hAnsi="Times New Roman"/>
                <w:sz w:val="20"/>
              </w:rPr>
              <w:t>38,40 EUR</w:t>
            </w:r>
          </w:p>
        </w:tc>
        <w:tc>
          <w:tcPr>
            <w:tcW w:type="dxa" w:w="1296"/>
          </w:tcPr>
          <w:p>
            <w:r>
              <w:rPr>
                <w:rFonts w:ascii="Times New Roman" w:hAnsi="Times New Roman"/>
                <w:sz w:val="20"/>
              </w:rPr>
              <w:t>0,00 EUR</w:t>
            </w:r>
          </w:p>
        </w:tc>
        <w:tc>
          <w:tcPr>
            <w:tcW w:type="dxa" w:w="1296"/>
          </w:tcPr>
          <w:p>
            <w:r>
              <w:rPr>
                <w:rFonts w:ascii="Times New Roman" w:hAnsi="Times New Roman"/>
                <w:sz w:val="20"/>
              </w:rPr>
              <w:t>2.481,20 EUR</w:t>
            </w:r>
          </w:p>
        </w:tc>
      </w:tr>
      <w:tr>
        <w:tc>
          <w:tcPr>
            <w:tcW w:type="dxa" w:w="1296"/>
          </w:tcPr>
          <w:p>
            <w:r>
              <w:rPr>
                <w:rFonts w:ascii="Times New Roman" w:hAnsi="Times New Roman"/>
                <w:sz w:val="20"/>
              </w:rPr>
              <w:t>Juni 2026</w:t>
            </w:r>
          </w:p>
        </w:tc>
        <w:tc>
          <w:tcPr>
            <w:tcW w:type="dxa" w:w="1296"/>
          </w:tcPr>
          <w:p>
            <w:r>
              <w:rPr>
                <w:rFonts w:ascii="Times New Roman" w:hAnsi="Times New Roman"/>
                <w:sz w:val="20"/>
              </w:rPr>
              <w:t>2.240,00 EUR</w:t>
            </w:r>
          </w:p>
        </w:tc>
        <w:tc>
          <w:tcPr>
            <w:tcW w:type="dxa" w:w="1296"/>
          </w:tcPr>
          <w:p>
            <w:r>
              <w:rPr>
                <w:rFonts w:ascii="Times New Roman" w:hAnsi="Times New Roman"/>
                <w:sz w:val="20"/>
              </w:rPr>
              <w:t>110,00 EUR</w:t>
            </w:r>
          </w:p>
        </w:tc>
        <w:tc>
          <w:tcPr>
            <w:tcW w:type="dxa" w:w="1296"/>
          </w:tcPr>
          <w:p>
            <w:r>
              <w:rPr>
                <w:rFonts w:ascii="Times New Roman" w:hAnsi="Times New Roman"/>
                <w:sz w:val="20"/>
              </w:rPr>
              <w:t>126,40 EUR</w:t>
            </w:r>
          </w:p>
        </w:tc>
        <w:tc>
          <w:tcPr>
            <w:tcW w:type="dxa" w:w="1296"/>
          </w:tcPr>
          <w:p>
            <w:r>
              <w:rPr>
                <w:rFonts w:ascii="Times New Roman" w:hAnsi="Times New Roman"/>
                <w:sz w:val="20"/>
              </w:rPr>
              <w:t>57,60 EUR</w:t>
            </w:r>
          </w:p>
        </w:tc>
        <w:tc>
          <w:tcPr>
            <w:tcW w:type="dxa" w:w="1296"/>
          </w:tcPr>
          <w:p>
            <w:r>
              <w:rPr>
                <w:rFonts w:ascii="Times New Roman" w:hAnsi="Times New Roman"/>
                <w:sz w:val="20"/>
              </w:rPr>
              <w:t>0,00 EUR</w:t>
            </w:r>
          </w:p>
        </w:tc>
        <w:tc>
          <w:tcPr>
            <w:tcW w:type="dxa" w:w="1296"/>
          </w:tcPr>
          <w:p>
            <w:r>
              <w:rPr>
                <w:rFonts w:ascii="Times New Roman" w:hAnsi="Times New Roman"/>
                <w:sz w:val="20"/>
              </w:rPr>
              <w:t>2.534,00 EUR</w:t>
            </w:r>
          </w:p>
        </w:tc>
      </w:tr>
      <w:tr>
        <w:tc>
          <w:tcPr>
            <w:tcW w:type="dxa" w:w="1296"/>
          </w:tcPr>
          <w:p>
            <w:r>
              <w:rPr>
                <w:rFonts w:ascii="Times New Roman" w:hAnsi="Times New Roman"/>
                <w:sz w:val="20"/>
              </w:rPr>
              <w:t>Juli 2026</w:t>
            </w:r>
          </w:p>
        </w:tc>
        <w:tc>
          <w:tcPr>
            <w:tcW w:type="dxa" w:w="1296"/>
          </w:tcPr>
          <w:p>
            <w:r>
              <w:rPr>
                <w:rFonts w:ascii="Times New Roman" w:hAnsi="Times New Roman"/>
                <w:sz w:val="20"/>
              </w:rPr>
              <w:t>2.240,00 EUR</w:t>
            </w:r>
          </w:p>
        </w:tc>
        <w:tc>
          <w:tcPr>
            <w:tcW w:type="dxa" w:w="1296"/>
          </w:tcPr>
          <w:p>
            <w:r>
              <w:rPr>
                <w:rFonts w:ascii="Times New Roman" w:hAnsi="Times New Roman"/>
                <w:sz w:val="20"/>
              </w:rPr>
              <w:t>110,00 EUR</w:t>
            </w:r>
          </w:p>
        </w:tc>
        <w:tc>
          <w:tcPr>
            <w:tcW w:type="dxa" w:w="1296"/>
          </w:tcPr>
          <w:p>
            <w:r>
              <w:rPr>
                <w:rFonts w:ascii="Times New Roman" w:hAnsi="Times New Roman"/>
                <w:sz w:val="20"/>
              </w:rPr>
              <w:t>88,00 EUR</w:t>
            </w:r>
          </w:p>
        </w:tc>
        <w:tc>
          <w:tcPr>
            <w:tcW w:type="dxa" w:w="1296"/>
          </w:tcPr>
          <w:p>
            <w:r>
              <w:rPr>
                <w:rFonts w:ascii="Times New Roman" w:hAnsi="Times New Roman"/>
                <w:sz w:val="20"/>
              </w:rPr>
              <w:t>19,20 EUR</w:t>
            </w:r>
          </w:p>
        </w:tc>
        <w:tc>
          <w:tcPr>
            <w:tcW w:type="dxa" w:w="1296"/>
          </w:tcPr>
          <w:p>
            <w:r>
              <w:rPr>
                <w:rFonts w:ascii="Times New Roman" w:hAnsi="Times New Roman"/>
                <w:sz w:val="20"/>
              </w:rPr>
              <w:t>350,00 EUR Urlaubsgeld</w:t>
            </w:r>
          </w:p>
        </w:tc>
        <w:tc>
          <w:tcPr>
            <w:tcW w:type="dxa" w:w="1296"/>
          </w:tcPr>
          <w:p>
            <w:r>
              <w:rPr>
                <w:rFonts w:ascii="Times New Roman" w:hAnsi="Times New Roman"/>
                <w:sz w:val="20"/>
              </w:rPr>
              <w:t>2.807,20 EUR</w:t>
            </w:r>
          </w:p>
        </w:tc>
      </w:tr>
      <w:tr>
        <w:tc>
          <w:tcPr>
            <w:tcW w:type="dxa" w:w="1296"/>
          </w:tcPr>
          <w:p>
            <w:r>
              <w:rPr>
                <w:rFonts w:ascii="Times New Roman" w:hAnsi="Times New Roman"/>
                <w:sz w:val="20"/>
              </w:rPr>
              <w:t>August 2026 (geplant)</w:t>
            </w:r>
          </w:p>
        </w:tc>
        <w:tc>
          <w:tcPr>
            <w:tcW w:type="dxa" w:w="1296"/>
          </w:tcPr>
          <w:p>
            <w:r>
              <w:rPr>
                <w:rFonts w:ascii="Times New Roman" w:hAnsi="Times New Roman"/>
                <w:sz w:val="20"/>
              </w:rPr>
              <w:t>2.240,00 EUR</w:t>
            </w:r>
          </w:p>
        </w:tc>
        <w:tc>
          <w:tcPr>
            <w:tcW w:type="dxa" w:w="1296"/>
          </w:tcPr>
          <w:p>
            <w:r>
              <w:rPr>
                <w:rFonts w:ascii="Times New Roman" w:hAnsi="Times New Roman"/>
                <w:sz w:val="20"/>
              </w:rPr>
              <w:t>110,00 EUR</w:t>
            </w:r>
          </w:p>
        </w:tc>
        <w:tc>
          <w:tcPr>
            <w:tcW w:type="dxa" w:w="1296"/>
          </w:tcPr>
          <w:p>
            <w:r>
              <w:rPr>
                <w:rFonts w:ascii="Times New Roman" w:hAnsi="Times New Roman"/>
                <w:sz w:val="20"/>
              </w:rPr>
              <w:t>70,40 EUR</w:t>
            </w:r>
          </w:p>
        </w:tc>
        <w:tc>
          <w:tcPr>
            <w:tcW w:type="dxa" w:w="1296"/>
          </w:tcPr>
          <w:p>
            <w:r>
              <w:rPr>
                <w:rFonts w:ascii="Times New Roman" w:hAnsi="Times New Roman"/>
                <w:sz w:val="20"/>
              </w:rPr>
              <w:t>19,20 EUR</w:t>
            </w:r>
          </w:p>
        </w:tc>
        <w:tc>
          <w:tcPr>
            <w:tcW w:type="dxa" w:w="1296"/>
          </w:tcPr>
          <w:p>
            <w:r>
              <w:rPr>
                <w:rFonts w:ascii="Times New Roman" w:hAnsi="Times New Roman"/>
                <w:sz w:val="20"/>
              </w:rPr>
              <w:t>0,00 EUR</w:t>
            </w:r>
          </w:p>
        </w:tc>
        <w:tc>
          <w:tcPr>
            <w:tcW w:type="dxa" w:w="1296"/>
          </w:tcPr>
          <w:p>
            <w:r>
              <w:rPr>
                <w:rFonts w:ascii="Times New Roman" w:hAnsi="Times New Roman"/>
                <w:sz w:val="20"/>
              </w:rPr>
              <w:t>2.439,60 EUR</w:t>
            </w:r>
          </w:p>
        </w:tc>
      </w:tr>
    </w:tbl>
    <w:p>
      <w:pPr>
        <w:spacing w:line="259" w:lineRule="auto" w:after="60"/>
        <w:jc w:val="left"/>
      </w:pPr>
      <w:r>
        <w:t>Hinzu kommt eine vermögenswirksame Leistung des Arbeitgebers von monatlich 26,59 EUR. Die steuerfreien Zuschläge betreffen Sonntags- und Feiertagsdienste, die steuerpflichtigen Zuschläge kurzfristige Dienstplanänderungen. Urlaubsgeld wird jährlich im Juli gezahlt und ist nicht monatlich garantiert. Die Jahressonderzahlung von voraussichtlich 1.150,00 EUR brutto wird im November 2026 gezahlt, sofern das Arbeitsverhältnis am 30.11.2026 besteht. Überstunden werden nur auf ausdrückliche Anordnung vergütet; seit Januar 2026 wurden keine Überstunden vergütet.</w:t>
      </w:r>
    </w:p>
    <w:p>
      <w:pPr>
        <w:pStyle w:val="Heading2"/>
        <w:spacing w:line="259" w:lineRule="auto" w:after="60"/>
      </w:pPr>
      <w:r>
        <w:rPr>
          <w:rFonts w:ascii="Times New Roman" w:hAnsi="Times New Roman"/>
        </w:rPr>
        <w:t>Lohnabrechnung Juni 2026 (Auszug)</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Position</w:t>
            </w:r>
          </w:p>
        </w:tc>
        <w:tc>
          <w:tcPr>
            <w:tcW w:type="dxa" w:w="4536"/>
          </w:tcPr>
          <w:p>
            <w:r>
              <w:rPr>
                <w:rFonts w:ascii="Times New Roman" w:hAnsi="Times New Roman"/>
                <w:b/>
                <w:sz w:val="20"/>
              </w:rPr>
              <w:t>Betrag</w:t>
            </w:r>
          </w:p>
        </w:tc>
      </w:tr>
      <w:tr>
        <w:tc>
          <w:tcPr>
            <w:tcW w:type="dxa" w:w="4536"/>
          </w:tcPr>
          <w:p>
            <w:r>
              <w:rPr>
                <w:rFonts w:ascii="Times New Roman" w:hAnsi="Times New Roman"/>
                <w:sz w:val="20"/>
              </w:rPr>
              <w:t>Gesamtbrutto</w:t>
            </w:r>
          </w:p>
        </w:tc>
        <w:tc>
          <w:tcPr>
            <w:tcW w:type="dxa" w:w="4536"/>
          </w:tcPr>
          <w:p>
            <w:r>
              <w:rPr>
                <w:rFonts w:ascii="Times New Roman" w:hAnsi="Times New Roman"/>
                <w:sz w:val="20"/>
              </w:rPr>
              <w:t>2.534,00 EUR</w:t>
            </w:r>
          </w:p>
        </w:tc>
      </w:tr>
      <w:tr>
        <w:tc>
          <w:tcPr>
            <w:tcW w:type="dxa" w:w="4536"/>
          </w:tcPr>
          <w:p>
            <w:r>
              <w:rPr>
                <w:rFonts w:ascii="Times New Roman" w:hAnsi="Times New Roman"/>
                <w:sz w:val="20"/>
              </w:rPr>
              <w:t>davon Steuerbrutto</w:t>
            </w:r>
          </w:p>
        </w:tc>
        <w:tc>
          <w:tcPr>
            <w:tcW w:type="dxa" w:w="4536"/>
          </w:tcPr>
          <w:p>
            <w:r>
              <w:rPr>
                <w:rFonts w:ascii="Times New Roman" w:hAnsi="Times New Roman"/>
                <w:sz w:val="20"/>
              </w:rPr>
              <w:t>2.407,60 EUR</w:t>
            </w:r>
          </w:p>
        </w:tc>
      </w:tr>
      <w:tr>
        <w:tc>
          <w:tcPr>
            <w:tcW w:type="dxa" w:w="4536"/>
          </w:tcPr>
          <w:p>
            <w:r>
              <w:rPr>
                <w:rFonts w:ascii="Times New Roman" w:hAnsi="Times New Roman"/>
                <w:sz w:val="20"/>
              </w:rPr>
              <w:t>Lohnsteuer (Steuerklasse I)</w:t>
            </w:r>
          </w:p>
        </w:tc>
        <w:tc>
          <w:tcPr>
            <w:tcW w:type="dxa" w:w="4536"/>
          </w:tcPr>
          <w:p>
            <w:r>
              <w:rPr>
                <w:rFonts w:ascii="Times New Roman" w:hAnsi="Times New Roman"/>
                <w:sz w:val="20"/>
              </w:rPr>
              <w:t>208,66 EUR</w:t>
            </w:r>
          </w:p>
        </w:tc>
      </w:tr>
      <w:tr>
        <w:tc>
          <w:tcPr>
            <w:tcW w:type="dxa" w:w="4536"/>
          </w:tcPr>
          <w:p>
            <w:r>
              <w:rPr>
                <w:rFonts w:ascii="Times New Roman" w:hAnsi="Times New Roman"/>
                <w:sz w:val="20"/>
              </w:rPr>
              <w:t>Kirchensteuer</w:t>
            </w:r>
          </w:p>
        </w:tc>
        <w:tc>
          <w:tcPr>
            <w:tcW w:type="dxa" w:w="4536"/>
          </w:tcPr>
          <w:p>
            <w:r>
              <w:rPr>
                <w:rFonts w:ascii="Times New Roman" w:hAnsi="Times New Roman"/>
                <w:sz w:val="20"/>
              </w:rPr>
              <w:t>18,77 EUR</w:t>
            </w:r>
          </w:p>
        </w:tc>
      </w:tr>
      <w:tr>
        <w:tc>
          <w:tcPr>
            <w:tcW w:type="dxa" w:w="4536"/>
          </w:tcPr>
          <w:p>
            <w:r>
              <w:rPr>
                <w:rFonts w:ascii="Times New Roman" w:hAnsi="Times New Roman"/>
                <w:sz w:val="20"/>
              </w:rPr>
              <w:t>Solidaritätszuschlag</w:t>
            </w:r>
          </w:p>
        </w:tc>
        <w:tc>
          <w:tcPr>
            <w:tcW w:type="dxa" w:w="4536"/>
          </w:tcPr>
          <w:p>
            <w:r>
              <w:rPr>
                <w:rFonts w:ascii="Times New Roman" w:hAnsi="Times New Roman"/>
                <w:sz w:val="20"/>
              </w:rPr>
              <w:t>0,00 EUR</w:t>
            </w:r>
          </w:p>
        </w:tc>
      </w:tr>
      <w:tr>
        <w:tc>
          <w:tcPr>
            <w:tcW w:type="dxa" w:w="4536"/>
          </w:tcPr>
          <w:p>
            <w:r>
              <w:rPr>
                <w:rFonts w:ascii="Times New Roman" w:hAnsi="Times New Roman"/>
                <w:sz w:val="20"/>
              </w:rPr>
              <w:t>Krankenversicherung Arbeitnehmeranteil</w:t>
            </w:r>
          </w:p>
        </w:tc>
        <w:tc>
          <w:tcPr>
            <w:tcW w:type="dxa" w:w="4536"/>
          </w:tcPr>
          <w:p>
            <w:r>
              <w:rPr>
                <w:rFonts w:ascii="Times New Roman" w:hAnsi="Times New Roman"/>
                <w:sz w:val="20"/>
              </w:rPr>
              <w:t>196,26 EUR</w:t>
            </w:r>
          </w:p>
        </w:tc>
      </w:tr>
      <w:tr>
        <w:tc>
          <w:tcPr>
            <w:tcW w:type="dxa" w:w="4536"/>
          </w:tcPr>
          <w:p>
            <w:r>
              <w:rPr>
                <w:rFonts w:ascii="Times New Roman" w:hAnsi="Times New Roman"/>
                <w:sz w:val="20"/>
              </w:rPr>
              <w:t>Pflegeversicherung Arbeitnehmeranteil</w:t>
            </w:r>
          </w:p>
        </w:tc>
        <w:tc>
          <w:tcPr>
            <w:tcW w:type="dxa" w:w="4536"/>
          </w:tcPr>
          <w:p>
            <w:r>
              <w:rPr>
                <w:rFonts w:ascii="Times New Roman" w:hAnsi="Times New Roman"/>
                <w:sz w:val="20"/>
              </w:rPr>
              <w:t>49,36 EUR</w:t>
            </w:r>
          </w:p>
        </w:tc>
      </w:tr>
      <w:tr>
        <w:tc>
          <w:tcPr>
            <w:tcW w:type="dxa" w:w="4536"/>
          </w:tcPr>
          <w:p>
            <w:r>
              <w:rPr>
                <w:rFonts w:ascii="Times New Roman" w:hAnsi="Times New Roman"/>
                <w:sz w:val="20"/>
              </w:rPr>
              <w:t>Rentenversicherung Arbeitnehmeranteil</w:t>
            </w:r>
          </w:p>
        </w:tc>
        <w:tc>
          <w:tcPr>
            <w:tcW w:type="dxa" w:w="4536"/>
          </w:tcPr>
          <w:p>
            <w:r>
              <w:rPr>
                <w:rFonts w:ascii="Times New Roman" w:hAnsi="Times New Roman"/>
                <w:sz w:val="20"/>
              </w:rPr>
              <w:t>223,91 EUR</w:t>
            </w:r>
          </w:p>
        </w:tc>
      </w:tr>
      <w:tr>
        <w:tc>
          <w:tcPr>
            <w:tcW w:type="dxa" w:w="4536"/>
          </w:tcPr>
          <w:p>
            <w:r>
              <w:rPr>
                <w:rFonts w:ascii="Times New Roman" w:hAnsi="Times New Roman"/>
                <w:sz w:val="20"/>
              </w:rPr>
              <w:t>Arbeitslosenversicherung Arbeitnehmeranteil</w:t>
            </w:r>
          </w:p>
        </w:tc>
        <w:tc>
          <w:tcPr>
            <w:tcW w:type="dxa" w:w="4536"/>
          </w:tcPr>
          <w:p>
            <w:r>
              <w:rPr>
                <w:rFonts w:ascii="Times New Roman" w:hAnsi="Times New Roman"/>
                <w:sz w:val="20"/>
              </w:rPr>
              <w:t>31,30 EUR</w:t>
            </w:r>
          </w:p>
        </w:tc>
      </w:tr>
      <w:tr>
        <w:tc>
          <w:tcPr>
            <w:tcW w:type="dxa" w:w="4536"/>
          </w:tcPr>
          <w:p>
            <w:r>
              <w:rPr>
                <w:rFonts w:ascii="Times New Roman" w:hAnsi="Times New Roman"/>
                <w:sz w:val="20"/>
              </w:rPr>
              <w:t>Nettoauszahlung</w:t>
            </w:r>
          </w:p>
        </w:tc>
        <w:tc>
          <w:tcPr>
            <w:tcW w:type="dxa" w:w="4536"/>
          </w:tcPr>
          <w:p>
            <w:r>
              <w:rPr>
                <w:rFonts w:ascii="Times New Roman" w:hAnsi="Times New Roman"/>
                <w:sz w:val="20"/>
              </w:rPr>
              <w:t>1.805,74 EUR</w:t>
            </w:r>
          </w:p>
        </w:tc>
      </w:tr>
    </w:tbl>
    <w:p>
      <w:pPr>
        <w:spacing w:line="259" w:lineRule="auto" w:after="60"/>
        <w:jc w:val="left"/>
      </w:pPr>
      <w:r>
        <w:t>Der Arbeitgeber kann nicht beurteilen, welche Pauschalabzüge rentenrechtlich anzusetzen sind. Frau Thormählen bat ausdrücklich darum, der Rentenstelle mitzuteilen, dass sie keine Vollzeitstelle ausübt und dass die Juli-Zahlung nicht dauerhaft anfällt.</w:t>
      </w:r>
    </w:p>
    <w:p>
      <w:pPr>
        <w:pStyle w:val="Heading2"/>
        <w:spacing w:line="259" w:lineRule="auto" w:after="60"/>
      </w:pPr>
      <w:r>
        <w:rPr>
          <w:rFonts w:ascii="Times New Roman" w:hAnsi="Times New Roman"/>
        </w:rPr>
        <w:t>Personalnotiz</w:t>
      </w:r>
    </w:p>
    <w:p>
      <w:pPr>
        <w:spacing w:line="259" w:lineRule="auto" w:after="60"/>
        <w:jc w:val="left"/>
      </w:pPr>
      <w:r>
        <w:t>Im Personalgespräch vom 20.06.2026 erklärte Frau Thormählen, sie wolle die Tätigkeit nicht ausweiten. Die Hausleitung bot ihr wegen Personalmangels 32 Wochenstunden an; Frau Thormählen lehnte ab. Grund waren Trauerbelastung, Arzttermine und die Pflege der Schwiegermutter in Bad Schwartau.</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Rentenberatung Jessen &amp; Kollegium | Renten- und Versorgungsakte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