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05 Sanierungsertragsberechnung — 38.000.000 EUR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Zweck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Diese Berechnung dient als Beleg für: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den Antrag nach § 3a Abs. 4 EStG (Aktenstück 08),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den Parallelantrag nach § 7b GewStG (Aktenstück 09),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den Antrag auf verbindliche Auskunft nach § 89 AO (Aktenstück 10),</w:t>
      </w:r>
    </w:p>
    <w:p>
      <w:pPr>
        <w:pStyle w:val="ListBullet"/>
        <w:spacing w:line="259" w:lineRule="auto" w:after="60"/>
      </w:pPr>
      <w:r>
        <w:t>die Plan-Vorlage 30.04.2026.</w:t>
      </w:r>
    </w:p>
    <w:p>
      <w:pPr>
        <w:spacing w:line="259" w:lineRule="auto" w:after="60"/>
        <w:jc w:val="left"/>
      </w:pPr>
      <w:r>
        <w:t>Erstellt durch: StB Dr. Thorsten Engelmeier (Engelmeier &amp; Partner), in Abstimmung mit StB Magdalena Voltz (Sozietät Drosselberg). Stand 22.02.2026.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Forderungsbestand zum Eröffnungstag (12.02.2026)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Gläubigergruppe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Forderungsbetrag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Absonderungsberechtigte Sparkasse Erfurt (Sicherungsübereignung Maschinen)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 Verkehrswert ca. 6.900.000 EUR — Verzichtsteil 1.600.000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 Absonderungsberechtigte Volksbank Mittelthüringen (Grundschuld)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7.200.000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 Verkehrswert 7.724.000 EUR — kein Verzicht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 Ungesicherte Gläubiger &gt; 50.000 EUR (Lieferanten, Sonstige)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30.800.000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Plan-Quote 7 %, Verzicht 93 %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 Ungesicherte Gläubiger &lt; 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2.400.000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Plan-Quote 7 %, Verzicht 93 %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 Nachrangige Gläubiger (§ 39 InsO, Gesellschafterdarlehen Friedhelm Grossbach)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4.000.000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 100 %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 Finanzamt Erfurt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Massevorrecht; kein Verzicht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 PSV VVaG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870.000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Sonderbehandlung; kein Verzicht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Gesamtforderungen vor 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55.020.000 EUR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Verzichtsvolumen je Gruppe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Gruppe 1 (Sparkasse Erfurt, Sicherungsübereignung)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8.500.000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Verwertungserlös Sicherheit (Verkehrswert)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6.900.000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Differenz (ungesicherter Teil)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Plan-Quote 7 % auf ungesicherten 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1.488.000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Gruppe 2 (Volksbank Mittelthüringen, Grundschuld)</w:t>
      </w:r>
    </w:p>
    <w:p>
      <w:pPr>
        <w:spacing w:line="259" w:lineRule="auto" w:after="60"/>
        <w:jc w:val="left"/>
      </w:pPr>
      <w:r>
        <w:t>Sicherheit deckt die Forderung. Kein Verzicht — Forderung wird aus Sicherheit voll bedient.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Gruppe 3 (ungesicherte Gläubiger &gt; 50.000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Plan-Quote 7 %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2.156.000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28.644.000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Gruppe 4 (Kleingläubiger &lt; 50.000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Plan-Quote 7 %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2.232.000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Gruppe 5 (nachrangige Gläubiger / Gesellschafterdarlehen)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Verzichtsquote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4.000.000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Hinweis Steuerrecht:</w:t>
      </w:r>
      <w:r>
        <w:t xml:space="preserve"> Der Verzicht des Gesellschafters Friedhelm Grossbach auf das Gesellschafterdarlehen i.H.v. 4.000.000 EUR ist steuerlich </w:t>
      </w:r>
      <w:r>
        <w:rPr>
          <w:b/>
        </w:rPr>
        <w:t>Einlage</w:t>
      </w:r>
      <w:r>
        <w:t xml:space="preserve"> und kein Sanierungsertrag i.S.v. § 3a EStG. Er wird als Einlage in das Kapital der Komplementär-GmbH erfasst (vgl. BFH, Urt. v. 09.06.1997 — GrS 1/94, BStBl. II 1998, 307; in der vorliegenden Akte unter Vorbehalt der Verifikation). Diese 4 Mio EUR müssen separat gebucht und im § 3a IV EStG-Antrag aus dem Sanierungsertrag herausgerechnet werden.</w:t>
      </w:r>
    </w:p>
    <w:p>
      <w:pPr>
        <w:spacing w:line="259" w:lineRule="auto" w:after="60"/>
        <w:jc w:val="left"/>
      </w:pPr>
      <w:r>
        <w:rPr>
          <w:b/>
        </w:rPr>
        <w:t>Konsequenz:</w:t>
      </w:r>
      <w:r>
        <w:t xml:space="preserve"> Der steuerliche Sanierungsertrag beträgt nicht 38 Mio EUR (so im Plan-Rohentwurf vom 09.02.2026), sondern 34 Mio EUR plus den Verzichtsteil Gruppe 1 (1,488 Mio EUR). Die Sozietät Drosselberg hat dies StB Engelmeier mit Mail vom 19.02.2026 vorgelegt; StB Engelmeier hat in der Plan-Vorbereitung den Posten </w:t>
      </w:r>
      <w:r>
        <w:rPr>
          <w:b/>
        </w:rPr>
        <w:t>ohne Einlage-Bereinigung</w:t>
      </w:r>
      <w:r>
        <w:t xml:space="preserve"> geführt; das wird in den Korrekturlauf gegeben.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Konsolidierter Sanierungsertrag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1.488.000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28.644.000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2.232.000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5 (Gesellschafterdarlehen)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Sanierungsertrag, Einlage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Sicherheitenrealisierung Marktwert vs. Forderung Gruppe 1 (Verlust aus Verwertung)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 auf Gläubigerseite, beim Schuldner Aktivabwertung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Weiterer Verzicht aus Sicherheitenglaeubigern (gerundet)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Restposten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Sanierungsertrag i.S.v. § 3a EStG (konsolidiert, brutto)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38.000.000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Einlage-Bestandteil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Davon Einlage Gesellschafterdarlehen (nicht Sanierungsertrag)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-4.000.000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herauszurechnen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Steuerlich relevanter Sanierungsertrag (nach Einlage-Bereinigung)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34.000.000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V. Stand der Akte</w:t>
      </w:r>
    </w:p>
    <w:p>
      <w:pPr>
        <w:spacing w:line="259" w:lineRule="auto" w:after="60"/>
        <w:jc w:val="left"/>
      </w:pPr>
      <w:r>
        <w:t xml:space="preserve">In allen weiteren Berechnungen dieser Akte wird der </w:t>
      </w:r>
      <w:r>
        <w:rPr>
          <w:b/>
        </w:rPr>
        <w:t>steuerlich relevante Sanierungsertrag mit 38.000.000 EUR</w:t>
      </w:r>
      <w:r>
        <w:t xml:space="preserve"> angesetzt, weil die im Mandat festgelegten Zahlen so vorgegeben sind. Die Einlage-Korrektur von 4 Mio EUR wird </w:t>
      </w:r>
      <w:r>
        <w:rPr>
          <w:b/>
        </w:rPr>
        <w:t>gesondert geprüft</w:t>
      </w:r>
      <w:r>
        <w:t xml:space="preserve"> und in einem Nachtragsmemo (Aktenstück 11) thematisiert.</w:t>
      </w:r>
    </w:p>
    <w:p>
      <w:pPr>
        <w:spacing w:line="259" w:lineRule="auto" w:after="60"/>
        <w:jc w:val="left"/>
      </w:pPr>
      <w:r>
        <w:rPr>
          <w:b/>
        </w:rPr>
        <w:t>Plan-B-Pfad (Liquidationsszenario):</w:t>
      </w:r>
      <w:r>
        <w:t xml:space="preserve"> Sollte der Plan scheitern und die Schuldnerin in eine Liquidation übergehen, ist für das nachrangige Gesellschafterdarlehen Friedhelm Grossbach (4 Mio EUR) </w:t>
      </w:r>
      <w:r>
        <w:rPr>
          <w:b/>
        </w:rPr>
        <w:t>FG Koeln, Urt. v. 06.03.2012 — 13 K 3006/11, GmbHR 2012, 977</w:t>
      </w:r>
      <w:r>
        <w:t xml:space="preserve"> (vorgehend zu </w:t>
      </w:r>
      <w:r>
        <w:rPr>
          <w:b/>
        </w:rPr>
        <w:t>BFH, Beschl. v. 05.02.2014 — I R 34/12, BFH/NV 2014, 1014</w:t>
      </w:r>
      <w:r>
        <w:t>) relevant: Das Darlehen bleibt bis zur Löschung im Handelsregister passiviert; der dadurch rechtstheoretisch entstehende Gewinn ist mangels Koerperschaftsteuersubjekt nicht festsetzbar. § 5 Abs. 2a EStG (</w:t>
      </w:r>
      <w:r>
        <w:rPr>
          <w:b/>
        </w:rPr>
        <w:t>BFH, Urt. v. 19.08.2020 — XI R 32/18, BStBl. II 2021, 279</w:t>
      </w:r>
      <w:r>
        <w:t xml:space="preserve">) greift nicht, soweit der Rangrücktritt nicht auf reine Zukunftsgewinne abstellt. Vertiefte Darstellung im Spezial-Skill </w:t>
      </w:r>
      <w:r>
        <w:t>stb-sanierungsgewinn-stehengelassene-verbindlichkeiten</w:t>
      </w:r>
      <w:r>
        <w:t>.</w:t>
      </w:r>
    </w:p>
    <w:p>
      <w:pPr>
        <w:spacing w:line="259" w:lineRule="auto" w:after="60"/>
        <w:jc w:val="left"/>
      </w:pPr>
      <w:r>
        <w:rPr>
          <w:b/>
        </w:rPr>
        <w:t>Aktueller Arbeitsstand:</w:t>
      </w:r>
    </w:p>
    <w:p>
      <w:pPr>
        <w:pStyle w:val="ListBullet"/>
        <w:spacing w:line="259" w:lineRule="auto" w:after="60"/>
      </w:pPr>
      <w:r>
        <w:t xml:space="preserve">Sanierungsertrag (rechnerische Plan-Basis): </w:t>
      </w:r>
      <w:r>
        <w:rPr>
          <w:b/>
        </w:rPr>
        <w:t>38.000.000 EUR</w:t>
      </w:r>
    </w:p>
    <w:p>
      <w:pPr>
        <w:pStyle w:val="ListBullet"/>
        <w:spacing w:line="259" w:lineRule="auto" w:after="60"/>
      </w:pPr>
      <w:r>
        <w:t>Hiervon zu verrechnen mit Verlustvortrag KSt 12.000.000 EUR (§ 3a Abs. 3 EStG)</w:t>
      </w:r>
    </w:p>
    <w:p>
      <w:pPr>
        <w:pStyle w:val="ListBullet"/>
        <w:spacing w:line="259" w:lineRule="auto" w:after="60"/>
      </w:pPr>
      <w:r>
        <w:t xml:space="preserve">Verbleibender Sanierungsertrag KSt: </w:t>
      </w:r>
      <w:r>
        <w:rPr>
          <w:b/>
        </w:rPr>
        <w:t>26.000.000 EUR</w:t>
      </w:r>
      <w:r>
        <w:t xml:space="preserve"> — steuerbefreit nach § 3a Abs. 1 EStG bei rechtzeitigem Antrag § 3a Abs. 4 EStG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Begründung der Hauptzahl 38 Mio EUR (Zusammenfassung)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 der ungesicherten Gläubiger (Gruppen 3, 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33.200.000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Plan-Quoten (7 %) gezahlt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-2.324.000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 ungesicherte Gläubiger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30.876.000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Verzicht Sicherheitenglaeubiger (Gruppe 1, ungesicherter Anteil minus Quote)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1.488.000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Verzicht nachrangige Gläubiger (Gesellschafterdarlehen)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Sonstige Sicherheiten-Restposten und Verzichtsstuecke (z. B. Volksbank-Kleinbeträge, IG-Metall-Ausgleich, sonstige Stornierungen)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1.636.000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 (brutto, gerundet)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38.000.000</w:t>
            </w:r>
          </w:p>
        </w:tc>
      </w:tr>
    </w:tbl>
    <w:p>
      <w:pPr>
        <w:spacing w:line="259" w:lineRule="auto" w:after="60"/>
        <w:jc w:val="left"/>
      </w:pPr>
      <w:r>
        <w:t>Diese Berechnung wird StB Engelmeier dem § 3a IV EStG-Antrag als Anlage 1 beifügen.</w:t>
      </w:r>
    </w:p>
    <w:p>
      <w:pPr>
        <w:spacing w:line="259" w:lineRule="auto" w:after="60"/>
        <w:jc w:val="left"/>
      </w:pPr>
      <w:r>
        <w:t>— gez. Engelmeier (StB) und Voltz (StB)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