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06 Verlustvorträge KSt und GewSt — Stand 31.12.2025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Hintergrund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Die Schuldnerin ist als GmbH &amp; Co. KG aufgebaut:</w:t>
      </w:r>
    </w:p>
    <w:p>
      <w:pPr>
        <w:pStyle w:val="ListBullet"/>
        <w:spacing w:line="259" w:lineRule="auto" w:after="60"/>
      </w:pPr>
      <w:r>
        <w:rPr>
          <w:b/>
        </w:rPr>
        <w:t>Grossbach Druckguss &amp; Präzision GmbH &amp; Co. KG</w:t>
      </w:r>
      <w:r>
        <w:t xml:space="preserve"> (HRA 6128 AG Erfurt) — Personengesellschaft, gewerbesteuerpflichtig, keine KSt-Pflicht. Auf KG-Ebene laufen Gewerbesteuer-Verluste.</w:t>
      </w:r>
    </w:p>
    <w:p>
      <w:pPr>
        <w:pStyle w:val="ListBullet"/>
        <w:spacing w:line="259" w:lineRule="auto" w:after="60"/>
      </w:pPr>
      <w:r>
        <w:rPr>
          <w:b/>
        </w:rPr>
        <w:t>Grossbach Verwaltungs-GmbH</w:t>
      </w:r>
      <w:r>
        <w:t xml:space="preserve"> (HRB 31412 AG Erfurt) — Komplementär-GmbH, KSt-pflichtig. Auf GmbH-Ebene laufen KSt-Verluste, soweit die GmbH am Gewinn der KG beteiligt ist (im Streitfall hier zu 0,1 %; allerdings hat die GmbH eigene Aufwendungen aus Geschäftsführertätigkeit und Verluste aus den eigenen Gewerbebetriebs-Beteiligungsanteilen).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II. KSt-Verlustvortrag (Grossbach Verwaltungs-GmbH)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Jahresergebnis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Verlustvortrag kumuliert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-2.700.000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5.700.000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-3.500.000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9.200.000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-1.600.000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10.800.000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-1.200.000 (vorläufig)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12.000.000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Bescheinigung Finanzamt Erfurt:</w:t>
      </w:r>
      <w:r>
        <w:t xml:space="preserve"> Bescheid über den verbleibenden Verlustvortrag zum 31.12.2024 vom 14.03.2025, StNr. 156/120/82736, festgestellter Verlustvortrag KSt 10.800.000 EUR; gesonderte Feststellung 2025 ausstehend, StB Engelmeier prognostiziert auf Basis der Vorabschluss-Buchungen 12.000.000 EUR.</w:t>
      </w:r>
    </w:p>
    <w:p>
      <w:pPr>
        <w:spacing w:line="259" w:lineRule="auto" w:after="60"/>
        <w:jc w:val="left"/>
      </w:pPr>
      <w:r>
        <w:rPr>
          <w:b/>
        </w:rPr>
        <w:t>Sondereffekt:</w:t>
      </w:r>
      <w:r>
        <w:t xml:space="preserve"> Anteilsübertragung 100 % der Komplementär-GmbH an LR Industrial AG (im Closing nach Plan-Bestätigung) — § 8c KStG-Risiko für den KSt-Verlustvortrag.</w:t>
      </w:r>
    </w:p>
    <w:p>
      <w:pPr>
        <w:pStyle w:val="ListBullet"/>
        <w:spacing w:line="259" w:lineRule="auto" w:after="60"/>
      </w:pPr>
      <w:r>
        <w:t xml:space="preserve">100 % Anteilsübertragung ➜ </w:t>
      </w:r>
      <w:r>
        <w:rPr>
          <w:b/>
        </w:rPr>
        <w:t>schädlicher Beteiligungserwerb</w:t>
      </w:r>
      <w:r>
        <w:t xml:space="preserve"> i.S.v. § 8c Abs. 1 Satz 1 KStG ➜ Verlustvortrag geht voll unter.</w:t>
      </w:r>
    </w:p>
    <w:p>
      <w:pPr>
        <w:pStyle w:val="ListBullet"/>
        <w:spacing w:line="259" w:lineRule="auto" w:after="60"/>
      </w:pPr>
      <w:r>
        <w:t>Ausnahme: § 8d KStG (fortfuehrungsgebundener Verlustvortrag) — Antrag prüfen.</w:t>
      </w:r>
    </w:p>
    <w:p>
      <w:pPr>
        <w:pStyle w:val="ListBullet"/>
        <w:spacing w:line="259" w:lineRule="auto" w:after="60"/>
      </w:pPr>
      <w:r>
        <w:t>Hier: Die Komplementär-GmbH wird unverändert als Komplementaerin der KG fortgeführt; eigene operative Tätigkeit ist begrenzt auf Geschäftsführung. § 8d KStG verlangt, dass der Geschäftsbetrieb unverändert fortgeführt wird seit Beginn des dritten Wirtschaftsjahres vor Beteiligungserwerb. Pruefung im Detail erforderlich.</w:t>
      </w:r>
    </w:p>
    <w:p>
      <w:pPr>
        <w:pStyle w:val="ListBullet"/>
        <w:spacing w:line="259" w:lineRule="auto" w:after="60"/>
      </w:pPr>
      <w:r>
        <w:t xml:space="preserve">Bei Verlustuntergang: § 3a EStG-Verrechnung "geht ins Leere" — wirkt sich nur bis zum Eröffnungsstichtag des Plans aus; faktisch würde die Verlustverrechnung nach § 3a Abs. 3 EStG </w:t>
      </w:r>
      <w:r>
        <w:rPr>
          <w:b/>
        </w:rPr>
        <w:t>vor</w:t>
      </w:r>
      <w:r>
        <w:t xml:space="preserve"> dem Anteilserwerb stattfinden (zeitlich vor dem 8c-Stichtag). Aber: Anteilsübertragung erfolgt erst nach Plan-Bestätigung; Sanierungsertrag entsteht mit Plan-Wirksamkeit. Sequencing ist für das Plan-Steuerergebnis entscheidend.</w:t>
      </w:r>
    </w:p>
    <w:p>
      <w:pPr>
        <w:spacing w:line="259" w:lineRule="auto" w:after="60"/>
        <w:jc w:val="left"/>
      </w:pPr>
      <w:r>
        <w:rPr>
          <w:b/>
        </w:rPr>
        <w:t>Empfehlung:</w:t>
      </w:r>
      <w:r>
        <w:t xml:space="preserve"> § 8d KStG-Antrag stellen und zugleich die Verlustverrechnung nach § 3a Abs. 3 EStG </w:t>
      </w:r>
      <w:r>
        <w:rPr>
          <w:b/>
        </w:rPr>
        <w:t>vor</w:t>
      </w:r>
      <w:r>
        <w:t xml:space="preserve"> dem Anteilsuebertragungs-Closing dokumentieren. Vermerk im Plan-darstellenden Teil.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GewSt-Verlustvortrag (KG-Ebene)</w:t>
      </w:r>
    </w:p>
    <w:p>
      <w:pPr>
        <w:spacing w:line="259" w:lineRule="auto" w:after="60"/>
        <w:jc w:val="left"/>
      </w:pPr>
      <w:r>
        <w:t>Auf Ebene der KG (Grossbach Druckguss &amp; Präzision GmbH &amp; Co. KG):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Gewerbeertrag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Verlustvortrag kumuliert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-1.500.000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1.500.000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-2.100.000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3.600.000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-3.200.000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6.800.000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-4.100.000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10.900.000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-1.900.000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12.800.000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-1.200.000 (vorläufig)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14.000.000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Bescheinigung Finanzamt Erfurt:</w:t>
      </w:r>
      <w:r>
        <w:t xml:space="preserve"> Bescheid über den verbleibenden Gewerbeverlust zum 31.12.2024 vom 14.03.2025, gemäß § 10a GewStG.</w:t>
      </w:r>
    </w:p>
    <w:p>
      <w:pPr>
        <w:spacing w:line="259" w:lineRule="auto" w:after="60"/>
        <w:jc w:val="left"/>
      </w:pPr>
      <w:r>
        <w:rPr>
          <w:b/>
        </w:rPr>
        <w:t>Mindestbesteuerung § 10a Satz 2 GewStG:</w:t>
      </w:r>
      <w:r>
        <w:t xml:space="preserve"> Bei Verrechnung mit Sanierungsertrag greift die Mindestbesteuerung von 60 % grundsätzlich nicht, weil § 7b GewStG Vorrang hat (sanierungsbezogen). Aber: § 7b Abs. 1 Satz 3 GewStG verweist auf § 3a Abs. 3 EStG sinngemäß, sodass die Verrechnungsreihenfolge zwingend ist.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Verrechnung nach § 3a Abs. 3 EStG (Überblick)</w:t>
      </w:r>
    </w:p>
    <w:p>
      <w:pPr>
        <w:spacing w:line="259" w:lineRule="auto" w:after="60"/>
        <w:jc w:val="left"/>
      </w:pPr>
      <w:r>
        <w:t>Bei Sanierungsertrag i.H.v. 38.000.000 EUR und Verlustvortrag KSt 12.000.000 EUR (sowie Anlauf-Verlust 2026 und sonstige Posten, hier vereinfacht):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KSt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(Gewerbeertrag)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GewSt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24.000.000</w:t>
            </w:r>
          </w:p>
        </w:tc>
      </w:tr>
    </w:tbl>
    <w:p>
      <w:pPr>
        <w:spacing w:line="259" w:lineRule="auto" w:after="60"/>
        <w:jc w:val="left"/>
      </w:pPr>
      <w:r>
        <w:t>Diese Werte gehen in die Verrechnungsmatrix Aktenstück 07 ein.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Quellennachweise (Rechtsnormen)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EStG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Steuerfreiheit 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dejure.org/gesetze/EStG/3a.html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Abs. 3 EStG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zwingende Verrechnungsreihenfolge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dejure.org/gesetze/EStG/3a.html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7b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gewerbesteuerliche Parallelregelung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dejure.org/gesetze/GewStG/7b.html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36 Abs. 2c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Anwendung § 7b GewStG ab Bilanzstichtag 31.12.2017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dejure.org/gesetze/GewStG/36.html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10a Satz 2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Mindestbesteuerung Gewerbeertrag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dejure.org/gesetze/GewStG/10a.html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8c Abs. 1 Satz 1 KStG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schädlicher Beteiligungserwerb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dejure.org/gesetze/KStG/8c.html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8d KStG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fortfuehrungsgebundener Verlustvortrag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dejure.org/gesetze/KStG/8d.html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VI. Steuererklaerung 2025 (Stand)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Erklärung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KSt 2025 (Komplementär-GmbH)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Abgabe geplant 30.04.2026 mit Plan-Vorlage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GewSt 2025 (KG)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Abgabe geplant 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Feststellungserklärung KG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Mitunternehmerkonten Friedhelm/Bertha Grossbach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USt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abgegeben 21.01.2026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unauffällig</w:t>
            </w:r>
          </w:p>
        </w:tc>
      </w:tr>
    </w:tbl>
    <w:p>
      <w:pPr>
        <w:spacing w:line="259" w:lineRule="auto" w:after="60"/>
        <w:jc w:val="left"/>
      </w:pPr>
      <w:r>
        <w:t>— gez. Engelmeier (StB), Stand 23.02.2026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