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08 Antrag nach § 3a Abs. 4 EStG — Steuerfreistellung Sanierungsertrag</w:t>
      </w:r>
    </w:p>
    <w:p>
      <w:pPr>
        <w:spacing w:line="259" w:lineRule="auto" w:after="60"/>
        <w:jc w:val="left"/>
      </w:pPr>
      <w:r>
        <w:rPr>
          <w:b/>
        </w:rPr>
        <w:t>Absender:</w:t>
      </w:r>
      <w:r>
        <w:t xml:space="preserve"> Grossbach Druckguss &amp; Präzision GmbH &amp; Co. KG, Anscharstrasse 14, 99084 Erfurt, vertreten durch die Grossbach Verwaltungs-GmbH, vertreten durch die Geschäftsführer Friedhelm Grossbach und Bertha Grossbach-Riemenschneider, diese vertreten durch StB Dr. Thorsten Engelmeier (Engelmeier &amp; Partner, Erfurt) und StB Magdalena Voltz (Sozietät Drosselberg &amp; Partner)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Empfänger:</w:t>
      </w:r>
      <w:r>
        <w:rPr>
          <w:rFonts w:ascii="Times New Roman" w:hAnsi="Times New Roman"/>
          <w:b/>
          <w:sz w:val="22"/>
        </w:rPr>
        <w:t xml:space="preserve"> Finanzamt Erfurt, Bahnhofstrasse 4, 99084 Erfurt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Datum (intern festgelegt):</w:t>
      </w:r>
      <w:r>
        <w:rPr>
          <w:rFonts w:ascii="Times New Roman" w:hAnsi="Times New Roman"/>
          <w:b/>
          <w:sz w:val="22"/>
        </w:rPr>
        <w:t xml:space="preserve"> 28.04.2026 — Versand vorgesehen mit der Plan-Vorlage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Zustellung:</w:t>
      </w:r>
      <w:r>
        <w:rPr>
          <w:rFonts w:ascii="Times New Roman" w:hAnsi="Times New Roman"/>
          <w:b/>
          <w:sz w:val="22"/>
        </w:rPr>
        <w:t xml:space="preserve"> ELSTER, qualifiziert signiert StB Engelmeier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Steuernummer:</w:t>
      </w:r>
      <w:r>
        <w:rPr>
          <w:rFonts w:ascii="Times New Roman" w:hAnsi="Times New Roman"/>
          <w:b/>
          <w:sz w:val="22"/>
        </w:rPr>
        <w:t xml:space="preserve"> 156/120/82736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Vorgang:</w:t>
      </w:r>
      <w:r>
        <w:rPr>
          <w:rFonts w:ascii="Times New Roman" w:hAnsi="Times New Roman"/>
          <w:b/>
          <w:sz w:val="22"/>
        </w:rPr>
        <w:t xml:space="preserve"> Sanierungsertrag aus Insolvenzplanverfahren AG Erfurt 60 IN 188/26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Sehr geehrte Damen und Herren,</w:t>
      </w:r>
    </w:p>
    <w:p>
      <w:pPr>
        <w:spacing w:line="259" w:lineRule="auto" w:after="60"/>
        <w:jc w:val="left"/>
      </w:pPr>
      <w:r>
        <w:t>namens und im Auftrag unserer Mandantin, der Grossbach Druckguss &amp; Präzision GmbH &amp; Co. KG (im Folgenden "Schuldnerin"), stellen wir hiermit den</w:t>
      </w:r>
    </w:p>
    <w:p>
      <w:pPr>
        <w:spacing w:line="259" w:lineRule="auto" w:after="60"/>
        <w:jc w:val="left"/>
      </w:pPr>
      <w:r>
        <w:rPr>
          <w:b/>
        </w:rPr>
        <w:t>Antrag nach § 3a Abs. 4 EStG</w:t>
      </w:r>
    </w:p>
    <w:p>
      <w:pPr>
        <w:spacing w:line="259" w:lineRule="auto" w:after="60"/>
        <w:jc w:val="left"/>
      </w:pPr>
      <w:r>
        <w:t>auf Steuerfreistellung des Sanierungsertrags aus dem Insolvenzplanverfahren AG Erfurt 60 IN 188/26. Der Antrag wird ferner ausdrücklich auch für die koerperschaftsteuerliche Anwendung auf die Grossbach Verwaltungs-GmbH (HRB 31412 AG Erfurt) gestellt, soweit deren Gewinnanteil betroffen ist.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I. Sachverhalt</w:t>
      </w:r>
    </w:p>
    <w:p>
      <w:pPr>
        <w:spacing w:line="259" w:lineRule="auto" w:after="60"/>
        <w:jc w:val="left"/>
      </w:pPr>
      <w:r>
        <w:t>Mit Beschluss des AG Erfurt vom 12.02.2026 (60 IN 188/26) ist über das Vermögen der Schuldnerin das Schutzschirmverfahren nach § 270d InsO eingeleitet worden. Vorgesehen ist die Vorlage eines Insolvenzplans, dessen Eckpunkte einen Forderungsverzicht der ungesicherten Gläubiger in Höhe von 38.000.000 EUR vorsehen. Plan-Vorlage 30.04.2026; Eroerterungs- und Abstimmungstermin 18.06.2026; Plan-Bestätigung erwartet 25.06.2026.</w:t>
      </w:r>
    </w:p>
    <w:p>
      <w:pPr>
        <w:spacing w:line="259" w:lineRule="auto" w:after="60"/>
        <w:jc w:val="left"/>
      </w:pPr>
      <w:r>
        <w:t>Aus dem Forderungsverzicht entsteht ein Sanierungsertrag i.S.v. § 3a Abs. 2 EStG in Höhe von 38.000.000 EUR.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II. Voraussetzungen § 3a Abs. 2 EStG (unternehmensbezogene Sanierung)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1. Sanierungsbedürftigkeit</w:t>
      </w:r>
    </w:p>
    <w:p>
      <w:pPr>
        <w:spacing w:line="259" w:lineRule="auto" w:after="60"/>
        <w:jc w:val="left"/>
      </w:pPr>
      <w:r>
        <w:t>Die Schuldnerin ist drohend zahlungsunfähig. Dies ist durch das Schutzschirmverfahren am AG Erfurt 60 IN 188/26 sowie durch die Sanierungsbescheinigung StB Engelmeier v. 09.02.2026 dokumentiert (Anlage 8). Liquiditätsplanung mit Saldenfehlbetrag 3,4 Mio EUR ab Mitte April 2026 (Anlage 9).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 Sanierungsfähigkeit</w:t>
      </w:r>
    </w:p>
    <w:p>
      <w:pPr>
        <w:spacing w:line="259" w:lineRule="auto" w:after="60"/>
        <w:jc w:val="left"/>
      </w:pPr>
      <w:r>
        <w:t>Die Sanierungsfähigkeit ist durch das IDW S6-Sanierungskonzept Buchner &amp; Voltz vom 25.01.2026 (Anlage 5) belegt. Das Konzept weist nach, dass die Schuldnerin nach Plan-Umsetzung wieder rentabel ist (positive Renditeerwartung ab Q2/2027).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 Sanierungseignung</w:t>
      </w:r>
    </w:p>
    <w:p>
      <w:pPr>
        <w:spacing w:line="259" w:lineRule="auto" w:after="60"/>
        <w:jc w:val="left"/>
      </w:pPr>
      <w:r>
        <w:t>Die Sanierungseignung ergibt sich aus den Plan-Eckpunkten (Anlage 7):</w:t>
      </w:r>
    </w:p>
    <w:p>
      <w:pPr>
        <w:pStyle w:val="ListBullet"/>
        <w:spacing w:line="259" w:lineRule="auto" w:after="60"/>
      </w:pPr>
      <w:r>
        <w:t>Forderungsverzicht der ungesicherten Gläubiger im Volumen von 38 Mio EUR</w:t>
      </w:r>
    </w:p>
    <w:p>
      <w:pPr>
        <w:pStyle w:val="ListBullet"/>
        <w:spacing w:line="259" w:lineRule="auto" w:after="60"/>
      </w:pPr>
      <w:r>
        <w:t>Investoren-Eigenkapital LR Industrial AG (6 Mio EUR)</w:t>
      </w:r>
    </w:p>
    <w:p>
      <w:pPr>
        <w:pStyle w:val="ListBullet"/>
        <w:spacing w:line="259" w:lineRule="auto" w:after="60"/>
      </w:pPr>
      <w:r>
        <w:t>Personalanpassung 60 Stellen (Sozialplan)</w:t>
      </w:r>
    </w:p>
    <w:p>
      <w:pPr>
        <w:pStyle w:val="ListBullet"/>
        <w:spacing w:line="259" w:lineRule="auto" w:after="60"/>
      </w:pPr>
      <w:r>
        <w:t>Pivot in Photovoltaik-Aluminium-Komponenten (MoU Solarwerk Mecklenburg AG vom 02.02.2026, Anlage 10)</w:t>
      </w:r>
    </w:p>
    <w:p>
      <w:pPr>
        <w:spacing w:line="259" w:lineRule="auto" w:after="60"/>
        <w:jc w:val="left"/>
      </w:pPr>
      <w:r>
        <w:t>Die Plan-Vorlage und der Eroerterungs- und Abstimmungstermin sind Verfahrenschritte im Sinne der h.M. zur Sanierungseignung.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4. Sanierungsabsicht der Gläubiger</w:t>
      </w:r>
    </w:p>
    <w:p>
      <w:pPr>
        <w:spacing w:line="259" w:lineRule="auto" w:after="60"/>
        <w:jc w:val="left"/>
      </w:pPr>
      <w:r>
        <w:t>Die Sanierungsabsicht der Gläubiger ist durch das Gläubigerausschuss-Protokoll vom 25.02.2026 (Anlage 6, TOP 4) dokumentiert. Die Gläubiger haben einstimmig erklärt, dass der Verzicht "in Sanierungsabsicht und nicht aus blosser Unrentabilitaet der Forderungsverfolgung" geleistet wird.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III. Verlustverrechnung nach § 3a Abs. 3 EStG</w:t>
      </w:r>
    </w:p>
    <w:p>
      <w:pPr>
        <w:spacing w:line="259" w:lineRule="auto" w:after="60"/>
        <w:jc w:val="left"/>
      </w:pPr>
      <w:r>
        <w:t>Wie aus der beigefügten Verrechnungsmatrix (Anlage 2) ersichtlich, mindert der Sanierungsertrag den Verlustvortrag der Komplementär-GmbH (KSt) wie folgt: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 brutto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 Verlustvortrag KSt zum 31.12.2025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Verbleibender Sanierungsertrag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26.000.000</w:t>
            </w:r>
          </w:p>
        </w:tc>
      </w:tr>
    </w:tbl>
    <w:p>
      <w:pPr>
        <w:spacing w:line="259" w:lineRule="auto" w:after="60"/>
        <w:jc w:val="left"/>
      </w:pPr>
      <w:r>
        <w:t>Hinsichtlich der Gewerbesteuer (siehe Aktenstück 09, Parallelantrag § 7b GewStG):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 brutto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 Verlustvortrag GewSt zum 31.12.2025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Verbleibender Sanierungsertrag GewSt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24.000.000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IV. Antrag</w:t>
      </w:r>
    </w:p>
    <w:p>
      <w:pPr>
        <w:spacing w:line="259" w:lineRule="auto" w:after="60"/>
        <w:jc w:val="left"/>
      </w:pPr>
      <w:r>
        <w:t>Wir beantragen,</w:t>
      </w:r>
    </w:p>
    <w:p>
      <w:pPr>
        <w:pStyle w:val="ListNumber"/>
        <w:spacing w:line="259" w:lineRule="auto" w:after="60"/>
      </w:pPr>
      <w:r>
        <w:t xml:space="preserve">die Steuerfreiheit des verbleibenden Sanierungsertrags nach § 3a Abs. 3 EStG für die Komplementär-GmbH in Höhe von </w:t>
      </w:r>
      <w:r>
        <w:rPr>
          <w:b/>
        </w:rPr>
        <w:t>26.000.000 EUR</w:t>
      </w:r>
      <w:r>
        <w:t xml:space="preserve"> gemäß § 3a Abs. 1 EStG festzustellen;</w:t>
      </w:r>
    </w:p>
    <w:p>
      <w:pPr>
        <w:pStyle w:val="ListNumber"/>
        <w:spacing w:line="259" w:lineRule="auto" w:after="60"/>
      </w:pPr>
      <w:r>
        <w:t>dies im KSt-Bescheid 2026 der Grossbach Verwaltungs-GmbH (HRB 31412 AG Erfurt, StNr. 156/120/82736) sowie in der gesonderten und einheitlichen Feststellung der Einkünfte 2026 der Grossbach Druckguss &amp; Präzision GmbH &amp; Co. KG (HRA 6128 AG Erfurt) entsprechend zu berücksichtigen;</w:t>
      </w:r>
    </w:p>
    <w:p>
      <w:pPr>
        <w:pStyle w:val="ListNumber"/>
        <w:spacing w:line="259" w:lineRule="auto" w:after="60"/>
      </w:pPr>
      <w:r>
        <w:t>uns vor Erlass des KSt-Bescheids 2026 Gelegenheit zur Stellungnahme zu geben (§ 91 AO).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V. Bindungswirkung</w:t>
      </w:r>
    </w:p>
    <w:p>
      <w:pPr>
        <w:spacing w:line="259" w:lineRule="auto" w:after="60"/>
        <w:jc w:val="left"/>
      </w:pPr>
      <w:r>
        <w:t>Wir erklären uns mit der Bindungswirkung des Antrags i.S.v. § 3a Abs. 4 EStG einverstanden. Die Verlustverrechnung nach § 3a Abs. 3 EStG (Aufzehrung von 12 Mio EUR KSt-Verlustvortrag und 14 Mio EUR GewSt-Verlust) ist ausdrücklich gewollt.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VI. Antrag auf verbindliche Auskunft § 89 AO (parallel)</w:t>
      </w:r>
    </w:p>
    <w:p>
      <w:pPr>
        <w:spacing w:line="259" w:lineRule="auto" w:after="60"/>
        <w:jc w:val="left"/>
      </w:pPr>
      <w:r>
        <w:t>Parallel haben wir mit gesondertem Schreiben einen Antrag nach § 89 AO auf eine verbindliche Auskunft gestellt, in der das Finanzamt Erfurt die Anwendbarkeit von § 3a EStG auf den vorliegenden Sachverhalt bestätigen möge. Wir bitten, beide Anträge einheitlich zu bearbeiten.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VII. Anlagen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Sanierungsertragsberechnung 38 Mio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Verrechnungsmatrix § 3a III EStG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Verzichtsdokumentation Gläubiger (Aktenstück 04)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Plan-Vorlage (Entwurfsstand 28.04.2026)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IDW S6-Sanierungskonzept Buchner &amp; Voltz v. 25.01.2026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Gläubigerausschuss-Protokoll v. 25.02.2026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Plan-Eckpunkte v. 09.02.2026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Sanierungsbescheinigung StB Engelmeier v. 09.02.2026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Liquiditätsplanung März 2026 — August 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MoU Solarwerk Mecklenburg AG v. 02.02.2026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HR-Auszüge HRA 6128 und HRB 31412</w:t>
            </w:r>
          </w:p>
        </w:tc>
      </w:tr>
    </w:tbl>
    <w:p>
      <w:pPr>
        <w:spacing w:line="259" w:lineRule="auto" w:after="60"/>
      </w:pPr>
    </w:p>
    <w:p>
      <w:pPr>
        <w:spacing w:line="259" w:lineRule="auto" w:after="60"/>
        <w:jc w:val="left"/>
      </w:pPr>
      <w:r>
        <w:t>Mit freundlichen Gruessen</w:t>
      </w:r>
    </w:p>
    <w:p>
      <w:pPr>
        <w:spacing w:line="259" w:lineRule="auto" w:after="60"/>
        <w:jc w:val="left"/>
      </w:pPr>
      <w:r>
        <w:t>StB Dr. Thorsten Engelmeier | StB Magdalena Voltz</w:t>
      </w:r>
    </w:p>
    <w:p>
      <w:pPr>
        <w:spacing w:line="259" w:lineRule="auto" w:after="60"/>
        <w:jc w:val="left"/>
      </w:pPr>
      <w:r>
        <w:t>für Grossbach Druckguss &amp; Präzision GmbH &amp; Co. KG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Interner Vermerk (NICHT versenden — für Akte):</w:t>
      </w:r>
    </w:p>
    <w:p>
      <w:pPr>
        <w:pStyle w:val="ListBullet"/>
        <w:spacing w:line="259" w:lineRule="auto" w:after="60"/>
      </w:pPr>
      <w:r>
        <w:t>Versanddatum ist auf 28.04.2026 festgelegt, damit das FA noch vor Plan-Bestätigung (25.06.2026) eine vorläufige Position einnehmen kann.</w:t>
      </w:r>
    </w:p>
    <w:p>
      <w:pPr>
        <w:pStyle w:val="ListBullet"/>
        <w:spacing w:line="259" w:lineRule="auto" w:after="60"/>
      </w:pPr>
      <w:r>
        <w:t xml:space="preserve">Wenn dieser Versanddatum-Zeitplan eingehalten wird, ist die Linie des FG Koeln 12 K 1413/25 für die Schuldnerin </w:t>
      </w:r>
      <w:r>
        <w:rPr>
          <w:b/>
        </w:rPr>
        <w:t>vorteilhaft</w:t>
      </w:r>
      <w:r>
        <w:t>, weil der Antrag eindeutig vor Plan-Bestätigung gestellt ist.</w:t>
      </w:r>
    </w:p>
    <w:p>
      <w:pPr>
        <w:pStyle w:val="ListBullet"/>
        <w:spacing w:line="259" w:lineRule="auto" w:after="60"/>
      </w:pPr>
      <w:r>
        <w:rPr>
          <w:b/>
        </w:rPr>
        <w:t>WARNUNG:</w:t>
      </w:r>
      <w:r>
        <w:t xml:space="preserve"> Wenn StB Engelmeier den Antrag erst nach 25.06.2026 stellt, kann das FA Erfurt sich auf die FG-Koeln-Linie berufen, falls die Verspätung als praeklusionsrelevant gewertet wird (siehe Aktenstück 12).</w:t>
      </w:r>
    </w:p>
    <w:p>
      <w:pPr>
        <w:pStyle w:val="ListBullet"/>
        <w:spacing w:line="259" w:lineRule="auto" w:after="60"/>
      </w:pPr>
      <w:r>
        <w:t>Empfehlung Sozietät Drosselberg: Spätestens 30.04.2026 versenden. Bestätigung per ELSTER-Quittung in die Akte legen.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