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09 Antrag nach § 7b GewStG — Parallelantrag Gewerbesteueramt der Stadt Erfurt</w:t>
      </w:r>
    </w:p>
    <w:p>
      <w:pPr>
        <w:spacing w:line="259" w:lineRule="auto" w:after="60"/>
        <w:jc w:val="left"/>
      </w:pPr>
      <w:r>
        <w:rPr>
          <w:b/>
        </w:rPr>
        <w:t>Absender:</w:t>
      </w:r>
      <w:r>
        <w:t xml:space="preserve"> Grossbach Druckguss &amp; Präzision GmbH &amp; Co. KG, Anscharstrasse 14, 99084 Erfurt, vertreten durch StB Dr. Thorsten Engelmeier und StB Magdalena Voltz</w:t>
      </w:r>
    </w:p>
    <w:p>
      <w:pPr>
        <w:spacing w:before="120" w:after="60" w:line="259" w:lineRule="auto"/>
        <w:jc w:val="left"/>
      </w:pPr>
      <w:r>
        <w:rPr>
          <w:rFonts w:ascii="Times New Roman" w:hAnsi="Times New Roman"/>
          <w:b/>
          <w:sz w:val="22"/>
        </w:rPr>
        <w:t>Empfänger:</w:t>
      </w:r>
      <w:r>
        <w:rPr>
          <w:rFonts w:ascii="Times New Roman" w:hAnsi="Times New Roman"/>
          <w:b/>
          <w:sz w:val="22"/>
        </w:rPr>
        <w:t xml:space="preserve"> Stadt Erfurt — Gewerbesteueramt, Fischmarkt 11, 99084 Erfurt</w:t>
      </w:r>
    </w:p>
    <w:p>
      <w:pPr>
        <w:spacing w:before="120" w:after="60" w:line="259" w:lineRule="auto"/>
        <w:jc w:val="left"/>
      </w:pPr>
      <w:r>
        <w:rPr>
          <w:rFonts w:ascii="Times New Roman" w:hAnsi="Times New Roman"/>
          <w:b/>
          <w:sz w:val="22"/>
        </w:rPr>
        <w:t>Datum (geplant):</w:t>
      </w:r>
      <w:r>
        <w:rPr>
          <w:rFonts w:ascii="Times New Roman" w:hAnsi="Times New Roman"/>
          <w:b/>
          <w:sz w:val="22"/>
        </w:rPr>
        <w:t xml:space="preserve"> 28.04.2026 (zeitgleich mit § 3a IV EStG-Antrag, Aktenstück 08)</w:t>
      </w:r>
    </w:p>
    <w:p>
      <w:pPr>
        <w:spacing w:line="259" w:lineRule="auto" w:after="60"/>
        <w:jc w:val="left"/>
      </w:pPr>
      <w:r>
        <w:rPr>
          <w:b/>
        </w:rPr>
        <w:t>Vorgang:</w:t>
      </w:r>
      <w:r>
        <w:t xml:space="preserve"> Sanierungsertrag aus Insolvenzplanverfahren AG Erfurt 60 IN 188/26 — Gewerbesteuerliche Behandlung</w:t>
      </w:r>
    </w:p>
    <w:p>
      <w:pPr>
        <w:spacing w:before="120" w:after="60" w:line="259" w:lineRule="auto"/>
        <w:jc w:val="left"/>
      </w:pPr>
      <w:r>
        <w:rPr>
          <w:rFonts w:ascii="Times New Roman" w:hAnsi="Times New Roman"/>
          <w:b w:val="0"/>
          <w:i w:val="0"/>
          <w:sz w:val="22"/>
        </w:rPr>
        <w:t>Aktenzeichen Gewerbesteueramt:</w:t>
      </w:r>
      <w:r>
        <w:rPr>
          <w:rFonts w:ascii="Times New Roman" w:hAnsi="Times New Roman"/>
          <w:b w:val="0"/>
          <w:i w:val="0"/>
          <w:sz w:val="22"/>
        </w:rPr>
        <w:t xml:space="preserve"> 65-StA-188-2026</w:t>
      </w:r>
    </w:p>
    <w:p>
      <w:pPr>
        <w:spacing w:line="259" w:lineRule="auto" w:after="60"/>
      </w:pPr>
    </w:p>
    <w:p>
      <w:pPr>
        <w:pStyle w:val="Heading2"/>
        <w:spacing w:before="120" w:after="60" w:line="259" w:lineRule="auto"/>
      </w:pPr>
      <w:r>
        <w:rPr>
          <w:rFonts w:ascii="Times New Roman" w:hAnsi="Times New Roman"/>
          <w:b/>
          <w:sz w:val="22"/>
        </w:rPr>
        <w:t>Sehr geehrte Damen und Herren,</w:t>
      </w:r>
    </w:p>
    <w:p>
      <w:pPr>
        <w:spacing w:line="259" w:lineRule="auto" w:after="60"/>
        <w:jc w:val="left"/>
      </w:pPr>
      <w:r>
        <w:t>namens und im Auftrag unserer Mandantin, der Grossbach Druckguss &amp; Präzision GmbH &amp; Co. KG (HRA 6128 AG Erfurt), stellen wir hiermit den</w:t>
      </w:r>
    </w:p>
    <w:p>
      <w:pPr>
        <w:spacing w:line="259" w:lineRule="auto" w:after="60"/>
        <w:jc w:val="left"/>
      </w:pPr>
      <w:r>
        <w:rPr>
          <w:b/>
        </w:rPr>
        <w:t>Antrag nach § 7b GewStG i.V.m. § 36 Abs. 2c GewStG</w:t>
      </w:r>
    </w:p>
    <w:p>
      <w:pPr>
        <w:spacing w:line="259" w:lineRule="auto" w:after="60"/>
        <w:jc w:val="left"/>
      </w:pPr>
      <w:r>
        <w:t>auf gewerbesteuerliche Freistellung des Sanierungsertrags aus dem Insolvenzplanverfahren AG Erfurt 60 IN 188/26.</w:t>
      </w:r>
    </w:p>
    <w:p>
      <w:pPr>
        <w:pStyle w:val="Heading2"/>
        <w:spacing w:line="259" w:lineRule="auto" w:after="60"/>
      </w:pPr>
      <w:r>
        <w:rPr>
          <w:rFonts w:ascii="Times New Roman" w:hAnsi="Times New Roman"/>
        </w:rPr>
        <w:t>I. Sachverhalt</w:t>
      </w:r>
    </w:p>
    <w:p>
      <w:pPr>
        <w:spacing w:line="259" w:lineRule="auto" w:after="60"/>
        <w:jc w:val="left"/>
      </w:pPr>
      <w:r>
        <w:t>Wir verweisen vollumfaenglich auf den Sachverhalt unseres parallelen Antrags vom 28.04.2026 an das Finanzamt Erfurt nach § 3a Abs. 4 EStG (Aktenzeichen FA Erfurt: StNr. 156/120/82736, Vorgang Sanierung 2026/188; Anlage 1 zu diesem Antrag).</w:t>
      </w:r>
    </w:p>
    <w:p>
      <w:pPr>
        <w:spacing w:line="259" w:lineRule="auto" w:after="60"/>
        <w:jc w:val="left"/>
      </w:pPr>
      <w:r>
        <w:t>In Kürze: Insolvenzplanverfahren AG Erfurt 60 IN 188/26 mit Forderungsverzicht der ungesicherten Gläubiger in Höhe von 38.000.000 EUR; Plan-Vorlage 30.04.2026; Bestätigung erwartet 25.06.2026.</w:t>
      </w:r>
    </w:p>
    <w:p>
      <w:pPr>
        <w:pStyle w:val="Heading2"/>
        <w:spacing w:line="259" w:lineRule="auto" w:after="60"/>
      </w:pPr>
      <w:r>
        <w:rPr>
          <w:rFonts w:ascii="Times New Roman" w:hAnsi="Times New Roman"/>
        </w:rPr>
        <w:t>II. Rechtsgrundlage § 7b GewStG</w:t>
      </w:r>
    </w:p>
    <w:p>
      <w:pPr>
        <w:spacing w:line="259" w:lineRule="auto" w:after="60"/>
        <w:jc w:val="left"/>
      </w:pPr>
      <w:r>
        <w:t>§ 7b GewStG bewirkt die Anwendung von § 3a EStG sinngemäß auf die Gewerbesteuer. Die in § 3a Abs. 3 EStG vorgesehene Verlustverrechnung gilt sinngemäß für den Gewerbeverlust nach § 10a GewStG.</w:t>
      </w:r>
    </w:p>
    <w:p>
      <w:pPr>
        <w:spacing w:line="259" w:lineRule="auto" w:after="60"/>
        <w:jc w:val="left"/>
      </w:pPr>
      <w:r>
        <w:t>§ 36 Abs. 2c GewStG: § 7b GewStG ist anwendbar für Schuldenerlasse nach dem 08.02.2017 (zeitliche Anwendung der Sanierungsgewinnregelung).</w:t>
      </w:r>
    </w:p>
    <w:p>
      <w:pPr>
        <w:spacing w:line="259" w:lineRule="auto" w:after="60"/>
        <w:jc w:val="left"/>
      </w:pPr>
      <w:r>
        <w:t>Hier: Der Forderungsverzicht erfolgt im Insolvenzplanverfahren mit Bestätigung voraussichtlich 25.06.2026. Damit liegt der Verzicht zeitlich im Anwendungsbereich des § 7b GewStG.</w:t>
      </w:r>
    </w:p>
    <w:p>
      <w:pPr>
        <w:pStyle w:val="Heading2"/>
        <w:spacing w:line="259" w:lineRule="auto" w:after="60"/>
      </w:pPr>
      <w:r>
        <w:rPr>
          <w:rFonts w:ascii="Times New Roman" w:hAnsi="Times New Roman"/>
        </w:rPr>
        <w:t>III. Sanierungserfordernisse — Verweis</w:t>
      </w:r>
    </w:p>
    <w:p>
      <w:pPr>
        <w:spacing w:line="259" w:lineRule="auto" w:after="60"/>
        <w:jc w:val="left"/>
      </w:pPr>
      <w:r>
        <w:t>Die unternehmensbezogene Sanierung i.S.v. § 3a Abs. 2 EStG ist begründet wie in unserem Antrag § 3a IV EStG (Aktenstück 08, Abschnitt II). Die Voraussetzungen Sanierungsbedürftigkeit, Sanierungsfähigkeit, Sanierungseignung und Sanierungsabsicht sind erfüllt.</w:t>
      </w:r>
    </w:p>
    <w:p>
      <w:pPr>
        <w:pStyle w:val="Heading2"/>
        <w:spacing w:line="259" w:lineRule="auto" w:after="60"/>
      </w:pPr>
      <w:r>
        <w:rPr>
          <w:rFonts w:ascii="Times New Roman" w:hAnsi="Times New Roman"/>
        </w:rPr>
        <w:t>IV. Verrechnung nach § 7b GewStG i.V.m. § 3a Abs. 3 EStG (sinngemäß)</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Wert (EUR)</w:t>
            </w:r>
          </w:p>
        </w:tc>
      </w:tr>
      <w:tr>
        <w:tc>
          <w:tcPr>
            <w:tcW w:type="dxa" w:w="4536"/>
          </w:tcPr>
          <w:p>
            <w:r>
              <w:rPr>
                <w:rFonts w:ascii="Times New Roman" w:hAnsi="Times New Roman"/>
                <w:sz w:val="20"/>
              </w:rPr>
              <w:t>Sanierungsertrag (Gewerbeertrag)</w:t>
            </w:r>
          </w:p>
        </w:tc>
        <w:tc>
          <w:tcPr>
            <w:tcW w:type="dxa" w:w="4536"/>
          </w:tcPr>
          <w:p>
            <w:r>
              <w:rPr>
                <w:rFonts w:ascii="Times New Roman" w:hAnsi="Times New Roman"/>
                <w:sz w:val="20"/>
              </w:rPr>
              <w:t>38.000.000</w:t>
            </w:r>
          </w:p>
        </w:tc>
      </w:tr>
      <w:tr>
        <w:tc>
          <w:tcPr>
            <w:tcW w:type="dxa" w:w="4536"/>
          </w:tcPr>
          <w:p>
            <w:r>
              <w:rPr>
                <w:rFonts w:ascii="Times New Roman" w:hAnsi="Times New Roman"/>
                <w:sz w:val="20"/>
              </w:rPr>
              <w:t>- Gewerbeverlust 2026 laufend (vor Sanierung)</w:t>
            </w:r>
          </w:p>
        </w:tc>
        <w:tc>
          <w:tcPr>
            <w:tcW w:type="dxa" w:w="4536"/>
          </w:tcPr>
          <w:p>
            <w:r>
              <w:rPr>
                <w:rFonts w:ascii="Times New Roman" w:hAnsi="Times New Roman"/>
                <w:sz w:val="20"/>
              </w:rPr>
              <w:t>0</w:t>
            </w:r>
          </w:p>
        </w:tc>
      </w:tr>
      <w:tr>
        <w:tc>
          <w:tcPr>
            <w:tcW w:type="dxa" w:w="4536"/>
          </w:tcPr>
          <w:p>
            <w:r>
              <w:rPr>
                <w:rFonts w:ascii="Times New Roman" w:hAnsi="Times New Roman"/>
                <w:sz w:val="20"/>
              </w:rPr>
              <w:t>- Gewerbeverlust-Vortrag § 10a GewStG zum 31.12.2025</w:t>
            </w:r>
          </w:p>
        </w:tc>
        <w:tc>
          <w:tcPr>
            <w:tcW w:type="dxa" w:w="4536"/>
          </w:tcPr>
          <w:p>
            <w:r>
              <w:rPr>
                <w:rFonts w:ascii="Times New Roman" w:hAnsi="Times New Roman"/>
                <w:sz w:val="20"/>
              </w:rPr>
              <w:t>14.000.000</w:t>
            </w:r>
          </w:p>
        </w:tc>
      </w:tr>
      <w:tr>
        <w:tc>
          <w:tcPr>
            <w:tcW w:type="dxa" w:w="4536"/>
          </w:tcPr>
          <w:p>
            <w:r>
              <w:rPr>
                <w:rFonts w:ascii="Times New Roman" w:hAnsi="Times New Roman"/>
                <w:b/>
                <w:sz w:val="20"/>
              </w:rPr>
              <w:t>Verbleibender Sanierungsertrag GewSt</w:t>
            </w:r>
          </w:p>
        </w:tc>
        <w:tc>
          <w:tcPr>
            <w:tcW w:type="dxa" w:w="4536"/>
          </w:tcPr>
          <w:p>
            <w:r>
              <w:rPr>
                <w:rFonts w:ascii="Times New Roman" w:hAnsi="Times New Roman"/>
                <w:b/>
                <w:sz w:val="20"/>
              </w:rPr>
              <w:t>24.000.000</w:t>
            </w:r>
          </w:p>
        </w:tc>
      </w:tr>
    </w:tbl>
    <w:p>
      <w:pPr>
        <w:pStyle w:val="Heading2"/>
        <w:spacing w:line="259" w:lineRule="auto" w:after="60"/>
      </w:pPr>
      <w:r>
        <w:rPr>
          <w:rFonts w:ascii="Times New Roman" w:hAnsi="Times New Roman"/>
        </w:rPr>
        <w:t>V. Antrag</w:t>
      </w:r>
    </w:p>
    <w:p>
      <w:pPr>
        <w:spacing w:line="259" w:lineRule="auto" w:after="60"/>
        <w:jc w:val="left"/>
      </w:pPr>
      <w:r>
        <w:t>Wir beantragen,</w:t>
      </w:r>
    </w:p>
    <w:p>
      <w:pPr>
        <w:pStyle w:val="ListNumber"/>
        <w:spacing w:line="259" w:lineRule="auto" w:after="60"/>
      </w:pPr>
      <w:r>
        <w:t xml:space="preserve">die gewerbesteuerliche Freistellung des verbleibenden Sanierungsertrags nach § 7b GewStG i.V.m. § 3a Abs. 1 EStG für die KG in Höhe von </w:t>
      </w:r>
      <w:r>
        <w:rPr>
          <w:b/>
        </w:rPr>
        <w:t>24.000.000 EUR</w:t>
      </w:r>
      <w:r>
        <w:t xml:space="preserve"> festzustellen;</w:t>
      </w:r>
    </w:p>
    <w:p>
      <w:pPr>
        <w:pStyle w:val="ListNumber"/>
        <w:spacing w:line="259" w:lineRule="auto" w:after="60"/>
      </w:pPr>
      <w:r>
        <w:t>dies im GewSt-Messbescheid 2026 entsprechend zu berücksichtigen;</w:t>
      </w:r>
    </w:p>
    <w:p>
      <w:pPr>
        <w:pStyle w:val="ListNumber"/>
        <w:spacing w:line="259" w:lineRule="auto" w:after="60"/>
      </w:pPr>
      <w:r>
        <w:t>die Mindestbesteuerung nach § 10a Satz 2 GewStG für das Sanierungsjahr 2026 nicht anzuwenden, soweit der § 7b GewStG-Vorrang reicht;</w:t>
      </w:r>
    </w:p>
    <w:p>
      <w:pPr>
        <w:pStyle w:val="ListNumber"/>
        <w:spacing w:line="259" w:lineRule="auto" w:after="60"/>
      </w:pPr>
      <w:r>
        <w:t>uns vor Erlass des GewSt-Messbescheids 2026 Gelegenheit zur Stellungnahme zu geben.</w:t>
      </w:r>
    </w:p>
    <w:p>
      <w:pPr>
        <w:pStyle w:val="Heading2"/>
        <w:spacing w:line="259" w:lineRule="auto" w:after="60"/>
      </w:pPr>
      <w:r>
        <w:rPr>
          <w:rFonts w:ascii="Times New Roman" w:hAnsi="Times New Roman"/>
        </w:rPr>
        <w:t>VI. Verzahnung mit Finanzamt Erfurt</w:t>
      </w:r>
    </w:p>
    <w:p>
      <w:pPr>
        <w:pStyle w:val="ListBullet"/>
        <w:spacing w:line="259" w:lineRule="auto" w:after="60"/>
      </w:pPr>
      <w:r>
        <w:t>Wir haben das Finanzamt Erfurt um eine verbindliche Auskunft nach § 89 AO gebeten (Aktenstück 10).</w:t>
      </w:r>
    </w:p>
    <w:p>
      <w:pPr>
        <w:pStyle w:val="ListBullet"/>
        <w:spacing w:line="259" w:lineRule="auto" w:after="60"/>
      </w:pPr>
      <w:r>
        <w:t>Soweit das Finanzamt Erfurt die unternehmensbezogene Sanierung i.S.v. § 3a Abs. 2 EStG bestätigt, wirkt diese Bestätigung mittelbar auch für die gewerbesteuerliche Beurteilung nach § 7b GewStG, da § 7b GewStG auf § 3a EStG verweist. Wir bitten um koordinierte Bearbeitung.</w:t>
      </w:r>
    </w:p>
    <w:p>
      <w:pPr>
        <w:pStyle w:val="Heading2"/>
        <w:spacing w:line="259" w:lineRule="auto" w:after="60"/>
      </w:pPr>
      <w:r>
        <w:rPr>
          <w:rFonts w:ascii="Times New Roman" w:hAnsi="Times New Roman"/>
        </w:rPr>
        <w:t>VII. Anlagen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Anlage</w:t>
            </w:r>
          </w:p>
        </w:tc>
        <w:tc>
          <w:tcPr>
            <w:tcW w:type="dxa" w:w="4536"/>
          </w:tcPr>
          <w:p>
            <w:r>
              <w:rPr>
                <w:rFonts w:ascii="Times New Roman" w:hAnsi="Times New Roman"/>
                <w:b/>
                <w:sz w:val="20"/>
              </w:rPr>
              <w:t>Inhalt</w:t>
            </w:r>
          </w:p>
        </w:tc>
      </w:tr>
      <w:tr>
        <w:tc>
          <w:tcPr>
            <w:tcW w:type="dxa" w:w="4536"/>
          </w:tcPr>
          <w:p>
            <w:r>
              <w:rPr>
                <w:rFonts w:ascii="Times New Roman" w:hAnsi="Times New Roman"/>
                <w:sz w:val="20"/>
              </w:rPr>
              <w:t>1</w:t>
            </w:r>
          </w:p>
        </w:tc>
        <w:tc>
          <w:tcPr>
            <w:tcW w:type="dxa" w:w="4536"/>
          </w:tcPr>
          <w:p>
            <w:r>
              <w:rPr>
                <w:rFonts w:ascii="Times New Roman" w:hAnsi="Times New Roman"/>
                <w:sz w:val="20"/>
              </w:rPr>
              <w:t>Kopie des § 3a IV EStG-Antrags an das Finanzamt Erfurt vom 28.04.2026</w:t>
            </w:r>
          </w:p>
        </w:tc>
      </w:tr>
      <w:tr>
        <w:tc>
          <w:tcPr>
            <w:tcW w:type="dxa" w:w="4536"/>
          </w:tcPr>
          <w:p>
            <w:r>
              <w:rPr>
                <w:rFonts w:ascii="Times New Roman" w:hAnsi="Times New Roman"/>
                <w:sz w:val="20"/>
              </w:rPr>
              <w:t>2</w:t>
            </w:r>
          </w:p>
        </w:tc>
        <w:tc>
          <w:tcPr>
            <w:tcW w:type="dxa" w:w="4536"/>
          </w:tcPr>
          <w:p>
            <w:r>
              <w:rPr>
                <w:rFonts w:ascii="Times New Roman" w:hAnsi="Times New Roman"/>
                <w:sz w:val="20"/>
              </w:rPr>
              <w:t>Verrechnungsmatrix § 3a III EStG / § 7b GewStG</w:t>
            </w:r>
          </w:p>
        </w:tc>
      </w:tr>
      <w:tr>
        <w:tc>
          <w:tcPr>
            <w:tcW w:type="dxa" w:w="4536"/>
          </w:tcPr>
          <w:p>
            <w:r>
              <w:rPr>
                <w:rFonts w:ascii="Times New Roman" w:hAnsi="Times New Roman"/>
                <w:sz w:val="20"/>
              </w:rPr>
              <w:t>3</w:t>
            </w:r>
          </w:p>
        </w:tc>
        <w:tc>
          <w:tcPr>
            <w:tcW w:type="dxa" w:w="4536"/>
          </w:tcPr>
          <w:p>
            <w:r>
              <w:rPr>
                <w:rFonts w:ascii="Times New Roman" w:hAnsi="Times New Roman"/>
                <w:sz w:val="20"/>
              </w:rPr>
              <w:t>Sanierungsertragsberechnung 38 Mio EUR</w:t>
            </w:r>
          </w:p>
        </w:tc>
      </w:tr>
      <w:tr>
        <w:tc>
          <w:tcPr>
            <w:tcW w:type="dxa" w:w="4536"/>
          </w:tcPr>
          <w:p>
            <w:r>
              <w:rPr>
                <w:rFonts w:ascii="Times New Roman" w:hAnsi="Times New Roman"/>
                <w:sz w:val="20"/>
              </w:rPr>
              <w:t>4</w:t>
            </w:r>
          </w:p>
        </w:tc>
        <w:tc>
          <w:tcPr>
            <w:tcW w:type="dxa" w:w="4536"/>
          </w:tcPr>
          <w:p>
            <w:r>
              <w:rPr>
                <w:rFonts w:ascii="Times New Roman" w:hAnsi="Times New Roman"/>
                <w:sz w:val="20"/>
              </w:rPr>
              <w:t>Plan-Vorlage (Entwurfsstand 28.04.2026)</w:t>
            </w:r>
          </w:p>
        </w:tc>
      </w:tr>
      <w:tr>
        <w:tc>
          <w:tcPr>
            <w:tcW w:type="dxa" w:w="4536"/>
          </w:tcPr>
          <w:p>
            <w:r>
              <w:rPr>
                <w:rFonts w:ascii="Times New Roman" w:hAnsi="Times New Roman"/>
                <w:sz w:val="20"/>
              </w:rPr>
              <w:t>5</w:t>
            </w:r>
          </w:p>
        </w:tc>
        <w:tc>
          <w:tcPr>
            <w:tcW w:type="dxa" w:w="4536"/>
          </w:tcPr>
          <w:p>
            <w:r>
              <w:rPr>
                <w:rFonts w:ascii="Times New Roman" w:hAnsi="Times New Roman"/>
                <w:sz w:val="20"/>
              </w:rPr>
              <w:t>IDW S6-Sanierungskonzept Buchner &amp; Voltz v. 25.01.2026</w:t>
            </w:r>
          </w:p>
        </w:tc>
      </w:tr>
      <w:tr>
        <w:tc>
          <w:tcPr>
            <w:tcW w:type="dxa" w:w="4536"/>
          </w:tcPr>
          <w:p>
            <w:r>
              <w:rPr>
                <w:rFonts w:ascii="Times New Roman" w:hAnsi="Times New Roman"/>
                <w:sz w:val="20"/>
              </w:rPr>
              <w:t>6</w:t>
            </w:r>
          </w:p>
        </w:tc>
        <w:tc>
          <w:tcPr>
            <w:tcW w:type="dxa" w:w="4536"/>
          </w:tcPr>
          <w:p>
            <w:r>
              <w:rPr>
                <w:rFonts w:ascii="Times New Roman" w:hAnsi="Times New Roman"/>
                <w:sz w:val="20"/>
              </w:rPr>
              <w:t>Gläubigerausschuss-Protokoll v. 25.02.2026</w:t>
            </w:r>
          </w:p>
        </w:tc>
      </w:tr>
      <w:tr>
        <w:tc>
          <w:tcPr>
            <w:tcW w:type="dxa" w:w="4536"/>
          </w:tcPr>
          <w:p>
            <w:r>
              <w:rPr>
                <w:rFonts w:ascii="Times New Roman" w:hAnsi="Times New Roman"/>
                <w:sz w:val="20"/>
              </w:rPr>
              <w:t>7</w:t>
            </w:r>
          </w:p>
        </w:tc>
        <w:tc>
          <w:tcPr>
            <w:tcW w:type="dxa" w:w="4536"/>
          </w:tcPr>
          <w:p>
            <w:r>
              <w:rPr>
                <w:rFonts w:ascii="Times New Roman" w:hAnsi="Times New Roman"/>
                <w:sz w:val="20"/>
              </w:rPr>
              <w:t>Bescheid Gewerbeverlust GewSt zum 31.12.2024 v. 14.03.2025</w:t>
            </w:r>
          </w:p>
        </w:tc>
      </w:tr>
      <w:tr>
        <w:tc>
          <w:tcPr>
            <w:tcW w:type="dxa" w:w="4536"/>
          </w:tcPr>
          <w:p>
            <w:r>
              <w:rPr>
                <w:rFonts w:ascii="Times New Roman" w:hAnsi="Times New Roman"/>
                <w:sz w:val="20"/>
              </w:rPr>
              <w:t>8</w:t>
            </w:r>
          </w:p>
        </w:tc>
        <w:tc>
          <w:tcPr>
            <w:tcW w:type="dxa" w:w="4536"/>
          </w:tcPr>
          <w:p>
            <w:r>
              <w:rPr>
                <w:rFonts w:ascii="Times New Roman" w:hAnsi="Times New Roman"/>
                <w:sz w:val="20"/>
              </w:rPr>
              <w:t>Eröffnungsbeschluss AG Erfurt 60 IN 188/26 v. 12.02.2026</w:t>
            </w:r>
          </w:p>
        </w:tc>
      </w:tr>
    </w:tbl>
    <w:p>
      <w:pPr>
        <w:spacing w:line="259" w:lineRule="auto" w:after="60"/>
      </w:pPr>
    </w:p>
    <w:p>
      <w:pPr>
        <w:spacing w:line="259" w:lineRule="auto" w:after="60"/>
        <w:jc w:val="left"/>
      </w:pPr>
      <w:r>
        <w:t>Mit freundlichen Gruessen</w:t>
      </w:r>
    </w:p>
    <w:p>
      <w:pPr>
        <w:spacing w:line="259" w:lineRule="auto" w:after="60"/>
        <w:jc w:val="left"/>
      </w:pPr>
      <w:r>
        <w:t>StB Dr. Thorsten Engelmeier | StB Magdalena Voltz</w:t>
      </w:r>
    </w:p>
    <w:p>
      <w:pPr>
        <w:spacing w:line="259" w:lineRule="auto" w:after="60"/>
        <w:jc w:val="left"/>
      </w:pPr>
      <w:r>
        <w:t>für Grossbach Druckguss &amp; Präzision GmbH &amp; Co. KG</w:t>
      </w:r>
    </w:p>
    <w:p>
      <w:pPr>
        <w:spacing w:line="259" w:lineRule="auto" w:after="60"/>
      </w:pPr>
    </w:p>
    <w:p>
      <w:pPr>
        <w:pStyle w:val="Heading2"/>
        <w:spacing w:line="259" w:lineRule="auto" w:after="60"/>
      </w:pPr>
      <w:r>
        <w:rPr>
          <w:rFonts w:ascii="Times New Roman" w:hAnsi="Times New Roman"/>
        </w:rPr>
        <w:t>Interner Vermerk (Praxis-Hinweise zur Bearbeitung)</w:t>
      </w:r>
    </w:p>
    <w:p>
      <w:pPr>
        <w:pStyle w:val="ListBullet"/>
        <w:spacing w:line="259" w:lineRule="auto" w:after="60"/>
      </w:pPr>
      <w:r>
        <w:t>Das Gewerbesteueramt der Stadt Erfurt arbeitet typischerweise nicht eigenständig, sondern wartet die Festsetzung des Messbetrags durch das Finanzamt ab. Trotzdem ist der Parallelantrag dort wichtig, weil die Mindestbesteuerung (§ 10a Satz 2 GewStG) und der Hebesatz (470 % Erfurt) lokal beeinflusst werden.</w:t>
      </w:r>
    </w:p>
    <w:p>
      <w:pPr>
        <w:pStyle w:val="ListBullet"/>
        <w:spacing w:line="259" w:lineRule="auto" w:after="60"/>
      </w:pPr>
      <w:r>
        <w:t>Hebesatz Erfurt 470 % auf 24 Mio EUR * 3,5 % = 3.948.000 EUR GewSt. Diese Last würde die Sanierung kippen.</w:t>
      </w:r>
    </w:p>
    <w:p>
      <w:pPr>
        <w:pStyle w:val="ListBullet"/>
        <w:spacing w:line="259" w:lineRule="auto" w:after="60"/>
      </w:pPr>
      <w:r>
        <w:t>Empfehlung: Antrag per Einschreiben/Rückschein und parallel per ELSTER versenden, damit eindeutige Eingangsdokumentation entsteht.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