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59" w:lineRule="auto" w:after="60"/>
      </w:pPr>
      <w:r>
        <w:rPr>
          <w:rFonts w:ascii="Times New Roman" w:hAnsi="Times New Roman"/>
        </w:rPr>
        <w:t>12 Memo — Anwendbarkeit FG Koeln, Urteil v. 04.11.2025 — 12 K 1413/25 auf den Streitfall Grossbach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Verfasser:</w:t>
      </w:r>
      <w:r>
        <w:rPr>
          <w:rFonts w:ascii="Times New Roman" w:hAnsi="Times New Roman"/>
          <w:b/>
          <w:sz w:val="22"/>
        </w:rPr>
        <w:t xml:space="preserve"> RA Dr. Maximilian Drosselberg, Sozietät Drosselberg &amp; Partner</w:t>
      </w:r>
    </w:p>
    <w:p>
      <w:pPr>
        <w:spacing w:line="259" w:lineRule="auto" w:after="60"/>
        <w:jc w:val="left"/>
      </w:pPr>
      <w:r>
        <w:rPr>
          <w:b/>
        </w:rPr>
        <w:t>Empfänger:</w:t>
      </w:r>
      <w:r>
        <w:t xml:space="preserve"> Insolvenzverwalter RA Rainer Pabst; Sachwalter RA Klaus Hattenberg; StB Magdalena Voltz; Mandantin Grossbach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Datum:</w:t>
      </w:r>
      <w:r>
        <w:rPr>
          <w:rFonts w:ascii="Times New Roman" w:hAnsi="Times New Roman"/>
          <w:b w:val="0"/>
          <w:i w:val="0"/>
          <w:sz w:val="22"/>
        </w:rPr>
        <w:t xml:space="preserve"> 11.07.2026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I. Gegenstand</w:t>
      </w:r>
    </w:p>
    <w:p>
      <w:pPr>
        <w:spacing w:line="259" w:lineRule="auto" w:after="60"/>
        <w:jc w:val="left"/>
      </w:pPr>
      <w:r>
        <w:t>Pruefung, ob die Linie des FG Koeln, Urteil v. 04.11.2025 — 12 K 1413/25, die Versagung der Steuerbefreiung nach § 3a EStG für den Sanierungsertrag der Grossbach Druckguss &amp; Präzision GmbH &amp; Co. KG aus dem Insolvenzplanverfahren AG Erfurt 60 IN 188/26 trägt. Auslassendes Problem: Der Antrag nach § 3a Abs. 4 EStG wurde durch StB Engelmeier erst am 02.07.2026, also acht Tage nach Plan-Bestätigung am 25.06.2026, beim FA Erfurt eingereicht.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II. Eckdaten der FG-Koeln-Entscheidung (Stand: bestätigt durch dejure.org und NWB-Abruf 02.06.2026)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Punkt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Finanzgericht Koeln, 12. Senat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Entscheidungsform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Urteil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04.11.2025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Aktenzeichen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 K 1413/25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Streitgegenstand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Steuerfreistellung Sanierungsertrag § 3a EStG nach Insolvenzplanverfahren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Klägerin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GmbH (Maschinenbau, NRW) im Insolvenzplanverfahren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Streitwert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6,8 Mio EUR Sanierungsertrag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Hauptpunkt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Antragsstellung nach § 3a Abs. 4 EStG; Frage: Antrag nach Plan-Bestätigung noch wirksam?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Entscheidung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Klage abgewiesen; FA hat Antrag zu Recht abgelehnt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Revision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zugelassen (BFH-Az erwartet X R 8/26)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III. Tragende Erwägungen FG Koeln (Zusammenfassung — verifizierte Quelle: dejure.org)</w:t>
      </w:r>
    </w:p>
    <w:p>
      <w:pPr>
        <w:pStyle w:val="ListNumber"/>
        <w:spacing w:line="259" w:lineRule="auto" w:after="60"/>
      </w:pPr>
      <w:r>
        <w:t>§ 3a Abs. 4 EStG räumt dem Steuerpflichtigen ein Antragsrecht ein. Die Bindungswirkung tritt mit Antragsstellung ein.</w:t>
      </w:r>
    </w:p>
    <w:p>
      <w:pPr>
        <w:pStyle w:val="ListNumber"/>
        <w:spacing w:line="259" w:lineRule="auto" w:after="60"/>
      </w:pPr>
      <w:r>
        <w:t xml:space="preserve">Die Voraussetzungen des § 3a Abs. 2 EStG (unternehmensbezogene Sanierung) müssen zum </w:t>
      </w:r>
      <w:r>
        <w:rPr>
          <w:b/>
        </w:rPr>
        <w:t>Zeitpunkt des Verzichts</w:t>
      </w:r>
      <w:r>
        <w:t xml:space="preserve"> vorliegen. Die Sanierungsabsicht der Gläubiger ist auf diesen Zeitpunkt bezogen.</w:t>
      </w:r>
    </w:p>
    <w:p>
      <w:pPr>
        <w:pStyle w:val="ListNumber"/>
        <w:spacing w:line="259" w:lineRule="auto" w:after="60"/>
      </w:pPr>
      <w:r>
        <w:t xml:space="preserve">Wird der Antrag erst nach Bestätigung des Insolvenzplans gestellt, sind die Voraussetzungen aus der </w:t>
      </w:r>
      <w:r>
        <w:rPr>
          <w:b/>
        </w:rPr>
        <w:t>Plan-Phase</w:t>
      </w:r>
      <w:r>
        <w:t xml:space="preserve"> noch nicht hinreichend dokumentiert, sondern müssen ex post belegt werden.</w:t>
      </w:r>
    </w:p>
    <w:p>
      <w:pPr>
        <w:pStyle w:val="ListNumber"/>
        <w:spacing w:line="259" w:lineRule="auto" w:after="60"/>
      </w:pPr>
      <w:r>
        <w:rPr>
          <w:b/>
        </w:rPr>
        <w:t>Knackpunkt:</w:t>
      </w:r>
      <w:r>
        <w:t xml:space="preserve"> Das FG Koeln verlangt, dass die Sanierungsabsicht-Dokumentation der Gläubiger zum Zeitpunkt der Antragstellung noch </w:t>
      </w:r>
      <w:r>
        <w:rPr>
          <w:b/>
        </w:rPr>
        <w:t>inhaltlich aktuell und nachweisbar</w:t>
      </w:r>
      <w:r>
        <w:t xml:space="preserve"> ist. Werde der Antrag erst nach Plan-Bestätigung gestellt, bestehe das Risiko, dass die Sanierungsabsicht der Gläubiger nicht mehr im Sinne des § 3a Abs. 2 EStG belegt sei.</w:t>
      </w:r>
    </w:p>
    <w:p>
      <w:pPr>
        <w:pStyle w:val="ListNumber"/>
        <w:spacing w:line="259" w:lineRule="auto" w:after="60"/>
      </w:pPr>
      <w:r>
        <w:t>Im Streitfall hatte die Klägerin den Antrag erst 14 Monate nach Plan-Bestätigung gestellt. Das FG Koeln hielt diese Verzögerung für schädlich, ohne genaue Frist zu bestimmen. Es sah die Gläubigerausschuss-Beschlüsse aus der Plan-Phase nicht mehr als hinreichende Sanierungsabsicht-Dokumentation an.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IV. Anwendbarkeit auf den Streitfall Grossbach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1. Antragstellungszeitpunkt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Punkt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Streitfall Grossbach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FG Koeln 12 K 1413/25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Plan-Bestätigung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25.06.2026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12.09.2023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3a IV-Antrag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02.07.2026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21.11.2024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Verzögerung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 Tage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 Monate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Sanierungsabsicht-Dokumentation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Gläubigerausschuss 25.02.2026; aktuell im Zeitpunkt der Antragstellung weiter aktuell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Gläubigerversammlung Juni 2023; deutlich vor Antrag</w:t>
            </w:r>
          </w:p>
        </w:tc>
      </w:tr>
    </w:tbl>
    <w:p>
      <w:pPr>
        <w:spacing w:line="259" w:lineRule="auto" w:after="60"/>
        <w:jc w:val="left"/>
      </w:pPr>
      <w:r>
        <w:rPr>
          <w:b/>
        </w:rPr>
        <w:t>Unterscheidungsmerkmal:</w:t>
      </w:r>
      <w:r>
        <w:t xml:space="preserve"> Die Verzögerung Grossbach von 7 Tagen ist marginal im Vergleich zu den 14 Monaten im FG-Koeln-Fall. Die Sanierungsabsicht-Dokumentation der Gläubiger ist materiell </w:t>
      </w:r>
      <w:r>
        <w:rPr>
          <w:b/>
        </w:rPr>
        <w:t>vor</w:t>
      </w:r>
      <w:r>
        <w:t xml:space="preserve"> der Plan-Bestätigung erfolgt (Gläubigerausschuss-Protokoll v. 25.02.2026) und stand zur Antragstellung noch im sachlichen Zusammenhang.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 Dokumentationslage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Voraussetzung § 3a Abs. 2 EStG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Streitfall Grossbach (Dokumentationsstand 02.07.2026)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Sanierungsbedürftigkeit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Schutzschirmverfahren AG Erfurt 60 IN 188/26 (12.02.2026)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Sanierungsfähigkeit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IDW S6-Konzept Buchner &amp; Voltz v. 25.01.2026; Update 30.03.2026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Sanierungseignung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Plan-Eckpunkte v. 09.02.2026; Plan-Vorlage 30.04.2026; Plan-Bestätigung 25.06.2026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Sanierungsabsicht Gläubiger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Gläubigerausschuss-Protokoll v. 25.02.2026; Verzichtsvereinbarungs-Anlage zum Plan</w:t>
            </w:r>
          </w:p>
        </w:tc>
      </w:tr>
    </w:tbl>
    <w:p>
      <w:pPr>
        <w:spacing w:line="259" w:lineRule="auto" w:after="60"/>
        <w:jc w:val="left"/>
      </w:pPr>
      <w:r>
        <w:t xml:space="preserve">Die Dokumentation ist materiell </w:t>
      </w:r>
      <w:r>
        <w:rPr>
          <w:b/>
        </w:rPr>
        <w:t>vollständig</w:t>
      </w:r>
      <w:r>
        <w:t xml:space="preserve"> und zeitlich </w:t>
      </w:r>
      <w:r>
        <w:rPr>
          <w:b/>
        </w:rPr>
        <w:t>vor</w:t>
      </w:r>
      <w:r>
        <w:t xml:space="preserve"> Plan-Bestätigung erstellt. Eine ex-post-Konstruktion liegt nicht vor.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3. Argumentationslinie für das FA Erfurt</w:t>
      </w:r>
    </w:p>
    <w:p>
      <w:pPr>
        <w:spacing w:line="259" w:lineRule="auto" w:after="60"/>
        <w:jc w:val="left"/>
      </w:pPr>
      <w:r>
        <w:t>Falls das FA Erfurt sich auf die FG-Koeln-Linie beruft, ist folgendermassen zu replizieren:</w:t>
      </w:r>
    </w:p>
    <w:p>
      <w:pPr>
        <w:spacing w:line="259" w:lineRule="auto" w:after="60"/>
        <w:ind w:left="567"/>
      </w:pPr>
      <w:r>
        <w:rPr>
          <w:i/>
        </w:rPr>
        <w:t>Der Streitfall Grossbach unterscheidet sich vom FG-Koeln-Fall in zwei Punkten:</w:t>
      </w:r>
    </w:p>
    <w:p>
      <w:pPr>
        <w:spacing w:line="259" w:lineRule="auto" w:after="60"/>
        <w:ind w:left="567"/>
      </w:pPr>
    </w:p>
    <w:p>
      <w:pPr>
        <w:spacing w:line="259" w:lineRule="auto" w:after="60"/>
        <w:ind w:left="567"/>
      </w:pPr>
      <w:r>
        <w:rPr>
          <w:i/>
        </w:rPr>
        <w:t xml:space="preserve">1. </w:t>
      </w:r>
      <w:r>
        <w:rPr>
          <w:b/>
          <w:i/>
        </w:rPr>
        <w:t>Zeitlicher Abstand:</w:t>
      </w:r>
      <w:r>
        <w:rPr>
          <w:i/>
        </w:rPr>
        <w:t xml:space="preserve"> 7 Tage vs. 14 Monate.</w:t>
      </w:r>
    </w:p>
    <w:p>
      <w:pPr>
        <w:spacing w:line="259" w:lineRule="auto" w:after="60"/>
        <w:ind w:left="567"/>
      </w:pPr>
      <w:r>
        <w:rPr>
          <w:i/>
        </w:rPr>
        <w:t xml:space="preserve">2. </w:t>
      </w:r>
      <w:r>
        <w:rPr>
          <w:b/>
          <w:i/>
        </w:rPr>
        <w:t>Inhaltliche Konnexitaet:</w:t>
      </w:r>
      <w:r>
        <w:rPr>
          <w:i/>
        </w:rPr>
        <w:t xml:space="preserve"> Die Sanierungsabsicht-Dokumentation ist im Streitfall Grossbach durch Gläubigerausschuss-Protokoll vom 25.02.2026 (vier Monate vor Plan-Bestätigung) sowie durch die Verzichtsvereinbarung der Gläubiger (Anlage zum Plan) so vollständig dokumentiert, dass eine ex-post-Bewertung </w:t>
      </w:r>
      <w:r>
        <w:rPr>
          <w:b/>
          <w:i/>
        </w:rPr>
        <w:t>gar nicht erforderlich</w:t>
      </w:r>
      <w:r>
        <w:rPr>
          <w:i/>
        </w:rPr>
        <w:t xml:space="preserve"> ist. Das FG Koeln hatte einen Fall, in dem die Klägerin die Sanierungsabsicht-Dokumentation erst durch die Antragstellung 14 Monate später argumentativ "nachreichen" musste — das ist beim Streitfall Grossbach gerade nicht so.</w:t>
      </w:r>
    </w:p>
    <w:p>
      <w:pPr>
        <w:spacing w:line="259" w:lineRule="auto" w:after="60"/>
        <w:ind w:left="567"/>
      </w:pPr>
    </w:p>
    <w:p>
      <w:pPr>
        <w:spacing w:line="259" w:lineRule="auto" w:after="60"/>
        <w:ind w:left="567"/>
      </w:pPr>
      <w:r>
        <w:rPr>
          <w:i/>
        </w:rPr>
        <w:t>Folge: Die FG-Koeln-Linie kann nicht ohne weiteres auf den Streitfall übertragen werden. Der Antrag § 3a IV EStG ist auch nach Plan-Bestätigung zulässig, solange der KSt-Bescheid 2026 nicht bestandskraeftig ist (§ 3a Abs. 4 EStG i.V.m. § 173 AO).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4. Hilfsargumente</w:t>
      </w:r>
    </w:p>
    <w:p>
      <w:pPr>
        <w:pStyle w:val="ListBullet"/>
        <w:spacing w:line="259" w:lineRule="auto" w:after="60"/>
      </w:pPr>
      <w:r>
        <w:rPr>
          <w:b/>
        </w:rPr>
        <w:t>Wortlaut § 3a Abs. 4 EStG:</w:t>
      </w:r>
      <w:r>
        <w:t xml:space="preserve"> Keine Antragsfrist genannt; Antrag bis zur Bestandskraft des KSt-Bescheids zulässig.</w:t>
      </w:r>
    </w:p>
    <w:p>
      <w:pPr>
        <w:pStyle w:val="ListBullet"/>
        <w:spacing w:line="259" w:lineRule="auto" w:after="60"/>
      </w:pPr>
      <w:r>
        <w:rPr>
          <w:b/>
        </w:rPr>
        <w:t>Gesetzesbegründung:</w:t>
      </w:r>
      <w:r>
        <w:t xml:space="preserve"> Die Bindungswirkung des Antrags soll die Mitwirkung des Steuerpflichtigen sicherstellen; nicht aber Praeklusion bei zeitlich nachgelagertem Antrag im naheliegenden Zusammenhang mit Plan-Bestätigung erzeugen.</w:t>
      </w:r>
    </w:p>
    <w:p>
      <w:pPr>
        <w:pStyle w:val="ListBullet"/>
        <w:spacing w:line="259" w:lineRule="auto" w:after="60"/>
      </w:pPr>
      <w:r>
        <w:rPr>
          <w:b/>
        </w:rPr>
        <w:t>BMF-Schreiben v. 27.04.2017 (Sanierungserlass — Nachfolger):</w:t>
      </w:r>
      <w:r>
        <w:t xml:space="preserve"> Das BMF erkennt eine flexible Antragstellung an, soweit die Voraussetzungen des § 3a EStG materiell vorliegen.</w:t>
      </w:r>
    </w:p>
    <w:p>
      <w:pPr>
        <w:pStyle w:val="ListBullet"/>
        <w:spacing w:line="259" w:lineRule="auto" w:after="60"/>
      </w:pPr>
      <w:r>
        <w:rPr>
          <w:b/>
        </w:rPr>
        <w:t>Revision zugelassen:</w:t>
      </w:r>
      <w:r>
        <w:t xml:space="preserve"> Bis zur BFH-Entscheidung (X R 8/26) bleibt die Rechtslage offen. Beim FA-Bescheid wäre Einspruch und ggf. AdV zu beantragen.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V. Empfehlung</w:t>
      </w:r>
    </w:p>
    <w:p>
      <w:pPr>
        <w:pStyle w:val="ListNumber"/>
        <w:spacing w:line="259" w:lineRule="auto" w:after="60"/>
      </w:pPr>
      <w:r>
        <w:rPr>
          <w:b/>
        </w:rPr>
        <w:t>Sofortmassnahme:</w:t>
      </w:r>
      <w:r>
        <w:t xml:space="preserve"> Schriftliche Stellungnahme an das FA Erfurt (Herr Weissbrod, SGL KSt), in der die Unterscheidung zum FG-Koeln-Fall dargelegt wird. Frist: 14 Tage nach Eingang der Anhörung zum KSt-Bescheid 2026.</w:t>
      </w:r>
    </w:p>
    <w:p>
      <w:pPr>
        <w:pStyle w:val="ListNumber"/>
        <w:spacing w:line="259" w:lineRule="auto" w:after="60"/>
      </w:pPr>
      <w:r>
        <w:rPr>
          <w:b/>
        </w:rPr>
        <w:t>Vorbereitung Einspruch und AdV:</w:t>
      </w:r>
      <w:r>
        <w:t xml:space="preserve"> Bei ablehnendem KSt-Bescheid 2026 fristgerechter Einspruch (§ 347 AO) und Antrag auf Aussetzung der Vollziehung (§ 361 AO).</w:t>
      </w:r>
    </w:p>
    <w:p>
      <w:pPr>
        <w:pStyle w:val="ListNumber"/>
        <w:spacing w:line="259" w:lineRule="auto" w:after="60"/>
      </w:pPr>
      <w:r>
        <w:rPr>
          <w:b/>
        </w:rPr>
        <w:t>Klage FG Thüringen vorbereiten:</w:t>
      </w:r>
      <w:r>
        <w:t xml:space="preserve"> Bei Einspruchsabweisung Klage gegen das FA Erfurt.</w:t>
      </w:r>
    </w:p>
    <w:p>
      <w:pPr>
        <w:pStyle w:val="ListNumber"/>
        <w:spacing w:line="259" w:lineRule="auto" w:after="60"/>
      </w:pPr>
      <w:r>
        <w:rPr>
          <w:b/>
        </w:rPr>
        <w:t>Verzahnung mit BFH-Revision X R 8/26:</w:t>
      </w:r>
      <w:r>
        <w:t xml:space="preserve"> Ggf. Antrag auf Ruhen des Verfahrens bis zur BFH-Entscheidung.</w:t>
      </w:r>
    </w:p>
    <w:p>
      <w:pPr>
        <w:pStyle w:val="ListNumber"/>
        <w:spacing w:line="259" w:lineRule="auto" w:after="60"/>
      </w:pPr>
      <w:r>
        <w:rPr>
          <w:b/>
        </w:rPr>
        <w:t>Risikoreserve:</w:t>
      </w:r>
      <w:r>
        <w:t xml:space="preserve"> Mandantin sollte 8 Mio EUR Steuerlast vorläufig reservieren — auch wenn die Sanierung dies nicht trägt. Verhandlung mit FA Erfurt über Stundung (§ 222 AO) und Erlass (§ 227 AO) als Eskalationsstufen.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VI. Querverweis: Liquidationspfad und FG Koeln 13 K 3006/11</w:t>
      </w:r>
    </w:p>
    <w:p>
      <w:pPr>
        <w:spacing w:line="259" w:lineRule="auto" w:after="60"/>
        <w:jc w:val="left"/>
      </w:pPr>
      <w:r>
        <w:t xml:space="preserve">Falls die Plan-Bestätigung scheitert (z. B. wenn das FA Erfurt die Steuerbefreiung versagt und die Steuerlast 8 Mio EUR die Plan-Liquidität kippt), wird der </w:t>
      </w:r>
      <w:r>
        <w:rPr>
          <w:b/>
        </w:rPr>
        <w:t>Liquidationspfad</w:t>
      </w:r>
      <w:r>
        <w:t xml:space="preserve"> zur Alternative. Dort wirkt FG Koeln, Urteil v. 06.03.2012 — 13 K 3006/11, GmbHR 2012, 977 (vorgehend zu BFH I R 34/12), als Querverweis:</w:t>
      </w:r>
    </w:p>
    <w:p>
      <w:pPr>
        <w:spacing w:line="259" w:lineRule="auto" w:after="60"/>
        <w:ind w:left="567"/>
      </w:pPr>
      <w:r>
        <w:rPr>
          <w:i/>
        </w:rPr>
        <w:t>Rangruecktrittsbehaftete Gesellschafterdarlehen (hier: Friedhelm Grossbach 4 Mio EUR) bleiben bis zur Löschung passiviert. Der rechentheoretisch im Loeschungszeitpunkt entstehende Gewinn ist mangels Koerperschaftsteuersubjekt nicht festsetzbar.</w:t>
      </w:r>
    </w:p>
    <w:p>
      <w:pPr>
        <w:spacing w:line="259" w:lineRule="auto" w:after="60"/>
        <w:jc w:val="left"/>
      </w:pPr>
      <w:r>
        <w:t>Diese Linie ist im Falle der Liquidation hilfreich, weil sie die scheinbar steuerlich kritische Auflösung des Gesellschafterdarlehens neutralisiert. Im Plan-Pfad (Sanierungsertrag-Konstellation) ist sie nicht direkt anwendbar — sie wirkt aber als Sicherheitsanker für den Plan-B-Pfad.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VII. Schluss</w:t>
      </w:r>
    </w:p>
    <w:p>
      <w:pPr>
        <w:spacing w:line="259" w:lineRule="auto" w:after="60"/>
        <w:jc w:val="left"/>
      </w:pPr>
      <w:r>
        <w:t xml:space="preserve">Die FG-Koeln-Linie 12 K 1413/25 ist auf den Streitfall Grossbach </w:t>
      </w:r>
      <w:r>
        <w:rPr>
          <w:b/>
        </w:rPr>
        <w:t>nicht 1:1 übertragbar</w:t>
      </w:r>
      <w:r>
        <w:t>. Die Dokumentationslage und der zeitliche Abstand sind deutlich besser als im FG-Koeln-Fall. Es besteht eine reelle Chance, das FA Erfurt von der Steuerbefreiung zu überzeugen — wenn nicht im KSt-Bescheid 2026 direkt, dann im Einspruchsverfahren oder vor dem FG Thüringen.</w:t>
      </w:r>
    </w:p>
    <w:p>
      <w:pPr>
        <w:spacing w:line="259" w:lineRule="auto" w:after="60"/>
        <w:jc w:val="left"/>
      </w:pPr>
      <w:r>
        <w:t>— gez. Dr. Drosselberg, 11.07.2026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