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16 Strafrechtliche Risiken — § 370 AO (Steuerhinterziehung)? Pruefung Engelmeier-Versäumnis</w:t>
      </w:r>
    </w:p>
    <w:p>
      <w:pPr>
        <w:spacing w:line="259" w:lineRule="auto" w:after="60"/>
        <w:jc w:val="left"/>
      </w:pPr>
      <w:r>
        <w:rPr>
          <w:b/>
        </w:rPr>
        <w:t>Verfasser:</w:t>
      </w:r>
      <w:r>
        <w:t xml:space="preserve"> Sozietät Drosselberg &amp; Partner, Strafrecht-Sektion (in Kooperation mit RA Vieth, Strafverteidiger Erfurt)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18.07.2026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Vertraulichkeit:</w:t>
      </w:r>
      <w:r>
        <w:rPr>
          <w:rFonts w:ascii="Times New Roman" w:hAnsi="Times New Roman"/>
          <w:b/>
          <w:sz w:val="22"/>
        </w:rPr>
        <w:t xml:space="preserve"> intern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I. Sachverhalt (verkürzt)</w:t>
      </w:r>
    </w:p>
    <w:p>
      <w:pPr>
        <w:spacing w:line="259" w:lineRule="auto" w:after="60"/>
        <w:jc w:val="left"/>
      </w:pPr>
      <w:r>
        <w:t>StB Dr. Thorsten Engelmeier hat den Antrag § 3a Abs. 4 EStG am 02.07.2026, sieben Tage nach Plan-Bestätigung des Insolvenzplans AG Erfurt 60 IN 188/26 (25.06.2026), eingereicht. Bei Anwendung der FG-Koeln-Linie kann das FA Erfurt die Steuerbefreiung versagen — was eine KSt-Last von 3,9 Mio EUR und GewSt-Last von 3,95 Mio EUR auslösen würde, zusammen ca. 8 Mio EUR.</w:t>
      </w:r>
    </w:p>
    <w:p>
      <w:pPr>
        <w:spacing w:line="259" w:lineRule="auto" w:after="60"/>
        <w:jc w:val="left"/>
      </w:pPr>
      <w:r>
        <w:t>Die Frage: Löst dieses Verhalten strafrechtliche Risiken nach § 370 AO (Steuerhinterziehung) aus?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II. Tatbestand § 370 AO</w:t>
      </w:r>
    </w:p>
    <w:p>
      <w:pPr>
        <w:spacing w:line="259" w:lineRule="auto" w:after="60"/>
        <w:jc w:val="left"/>
      </w:pPr>
      <w:r>
        <w:t>§ 370 Abs. 1 AO:</w:t>
      </w:r>
    </w:p>
    <w:p>
      <w:pPr>
        <w:spacing w:line="259" w:lineRule="auto" w:after="60"/>
        <w:ind w:left="567"/>
      </w:pPr>
      <w:r>
        <w:rPr>
          <w:i/>
        </w:rPr>
        <w:t>Mit Freiheitsstrafe bis zu fünf Jahren oder mit Geldstrafe wird bestraft, wer</w:t>
      </w:r>
    </w:p>
    <w:p>
      <w:pPr>
        <w:spacing w:line="259" w:lineRule="auto" w:after="60"/>
        <w:ind w:left="567"/>
      </w:pPr>
      <w:r>
        <w:rPr>
          <w:i/>
        </w:rPr>
        <w:t>1. den Finanzbehörden über steuerlich erhebliche Tatsachen unrichtige oder unvollständige Angaben macht,</w:t>
      </w:r>
    </w:p>
    <w:p>
      <w:pPr>
        <w:spacing w:line="259" w:lineRule="auto" w:after="60"/>
        <w:ind w:left="567"/>
      </w:pPr>
      <w:r>
        <w:rPr>
          <w:i/>
        </w:rPr>
        <w:t>2. die Finanzbehörden pflichtwidrig über steuerlich erhebliche Tatsachen in Unkenntnis lässt, oder</w:t>
      </w:r>
    </w:p>
    <w:p>
      <w:pPr>
        <w:spacing w:line="259" w:lineRule="auto" w:after="60"/>
        <w:ind w:left="567"/>
      </w:pPr>
      <w:r>
        <w:rPr>
          <w:i/>
        </w:rPr>
        <w:t>3. pflichtwidrig die Verwendung von Steuerzeichen oder Steuerstemplern unterlässt</w:t>
      </w:r>
    </w:p>
    <w:p>
      <w:pPr>
        <w:spacing w:line="259" w:lineRule="auto" w:after="60"/>
        <w:ind w:left="567"/>
      </w:pPr>
      <w:r>
        <w:rPr>
          <w:i/>
        </w:rPr>
        <w:t>und dadurch Steuern verkürzt oder für sich oder einen anderen nicht gerechtfertigte Steuervorteile erlangt.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III. Subsumtion für Grossbach Druckguss &amp; Präzision GmbH &amp; Co. KG (Steuerpflichtige)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 Steuerverkuerzung?</w:t>
      </w:r>
    </w:p>
    <w:p>
      <w:pPr>
        <w:spacing w:line="259" w:lineRule="auto" w:after="60"/>
        <w:jc w:val="left"/>
      </w:pPr>
      <w:r>
        <w:t xml:space="preserve">Eine Steuerverkuerzung i.S.v. § 370 Abs. 4 AO setzt voraus, dass die Steuer </w:t>
      </w:r>
      <w:r>
        <w:rPr>
          <w:b/>
        </w:rPr>
        <w:t>nicht festgesetzt</w:t>
      </w:r>
      <w:r>
        <w:t xml:space="preserve"> wird oder </w:t>
      </w:r>
      <w:r>
        <w:rPr>
          <w:b/>
        </w:rPr>
        <w:t>zu niedrig</w:t>
      </w:r>
      <w:r>
        <w:t xml:space="preserve"> festgesetzt wird, obwohl sie nach Gesetz erhoben werden müsste.</w:t>
      </w:r>
    </w:p>
    <w:p>
      <w:pPr>
        <w:spacing w:line="259" w:lineRule="auto" w:after="60"/>
        <w:jc w:val="left"/>
      </w:pPr>
      <w:r>
        <w:t>Im Streitfall:</w:t>
      </w:r>
    </w:p>
    <w:p>
      <w:pPr>
        <w:pStyle w:val="ListBullet"/>
        <w:spacing w:line="259" w:lineRule="auto" w:after="60"/>
      </w:pPr>
      <w:r>
        <w:t>Falls § 3a EStG-Befreiung gelingt: Keine Steuerverkuerzung. Die Befreiung ist gesetzeskonform.</w:t>
      </w:r>
    </w:p>
    <w:p>
      <w:pPr>
        <w:pStyle w:val="ListBullet"/>
        <w:spacing w:line="259" w:lineRule="auto" w:after="60"/>
      </w:pPr>
      <w:r>
        <w:t>Falls § 3a EStG-Befreiung scheitert: Die Steuer wird festgesetzt (8 Mio EUR). Keine Verkürzung.</w:t>
      </w:r>
    </w:p>
    <w:p>
      <w:pPr>
        <w:spacing w:line="259" w:lineRule="auto" w:after="60"/>
        <w:jc w:val="left"/>
      </w:pPr>
      <w:r>
        <w:t xml:space="preserve">➜ </w:t>
      </w:r>
      <w:r>
        <w:rPr>
          <w:b/>
        </w:rPr>
        <w:t>Kein Tatbestand der Steuerverkuerzung erkennbar.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 Steuervorteil-Erlangung?</w:t>
      </w:r>
    </w:p>
    <w:p>
      <w:pPr>
        <w:spacing w:line="259" w:lineRule="auto" w:after="60"/>
        <w:jc w:val="left"/>
      </w:pPr>
      <w:r>
        <w:t xml:space="preserve">Steuervorteil ist die ungerechtfertigte Steuerersparnis. Der § 3a EStG-Antrag bezweckt eine Steuerersparnis — aber diese ist </w:t>
      </w:r>
      <w:r>
        <w:rPr>
          <w:b/>
        </w:rPr>
        <w:t>gerechtfertigt</w:t>
      </w:r>
      <w:r>
        <w:t>, wenn die Voraussetzungen erfüllt sind. Der späte Antrag ist nicht "ungerechtfertigt", er ist ggf. praekludiert.</w:t>
      </w:r>
    </w:p>
    <w:p>
      <w:pPr>
        <w:spacing w:line="259" w:lineRule="auto" w:after="60"/>
        <w:jc w:val="left"/>
      </w:pPr>
      <w:r>
        <w:t xml:space="preserve">➜ </w:t>
      </w:r>
      <w:r>
        <w:rPr>
          <w:b/>
        </w:rPr>
        <w:t>Kein Tatbestand der Steuervorteil-Erlangung erkennbar.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 Pflichtwidrige Unterlassung?</w:t>
      </w:r>
    </w:p>
    <w:p>
      <w:pPr>
        <w:spacing w:line="259" w:lineRule="auto" w:after="60"/>
        <w:jc w:val="left"/>
      </w:pPr>
      <w:r>
        <w:t>§ 370 Abs. 1 Nr. 2 AO erfordert die pflichtwidrige Unterlassung. Hier: Die Schuldnerin (vertreten durch StB Engelmeier) hat im KSt-Bescheid 2026 noch keine Angaben gemacht — die Erklärung wird erst zu Ende 2026 / Anfang 2027 abgegeben. Bis dahin keine pflichtwidrige Unterlassung.</w:t>
      </w:r>
    </w:p>
    <w:p>
      <w:pPr>
        <w:spacing w:line="259" w:lineRule="auto" w:after="60"/>
        <w:jc w:val="left"/>
      </w:pPr>
      <w:r>
        <w:t xml:space="preserve">➜ </w:t>
      </w:r>
      <w:r>
        <w:rPr>
          <w:b/>
        </w:rPr>
        <w:t>Kein Tatbestand.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IV. Subsumtion für StB Engelmeier (Hilfsperson)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 Eigene Steuerpflicht?</w:t>
      </w:r>
    </w:p>
    <w:p>
      <w:pPr>
        <w:spacing w:line="259" w:lineRule="auto" w:after="60"/>
        <w:jc w:val="left"/>
      </w:pPr>
      <w:r>
        <w:t>StB Engelmeier ist nicht selbst steuerpflichtig für den Sanierungsertrag der Grossbach Druckguss &amp; Präzision GmbH &amp; Co. KG. Er berät.</w:t>
      </w:r>
    </w:p>
    <w:p>
      <w:pPr>
        <w:spacing w:line="259" w:lineRule="auto" w:after="60"/>
        <w:jc w:val="left"/>
      </w:pPr>
      <w:r>
        <w:t xml:space="preserve">➜ </w:t>
      </w:r>
      <w:r>
        <w:rPr>
          <w:b/>
        </w:rPr>
        <w:t>Keine eigene Steuer-Pflicht.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 Beihilfe zur Steuerhinterziehung (§ 27 StGB)?</w:t>
      </w:r>
    </w:p>
    <w:p>
      <w:pPr>
        <w:spacing w:line="259" w:lineRule="auto" w:after="60"/>
        <w:jc w:val="left"/>
      </w:pPr>
      <w:r>
        <w:t>Beihilfe setzt eine Haupttat voraus. Da keine Haupttat erkennbar ist (siehe oben), scheidet Beihilfe aus.</w:t>
      </w:r>
    </w:p>
    <w:p>
      <w:pPr>
        <w:spacing w:line="259" w:lineRule="auto" w:after="60"/>
        <w:jc w:val="left"/>
      </w:pPr>
      <w:r>
        <w:t xml:space="preserve">➜ </w:t>
      </w:r>
      <w:r>
        <w:rPr>
          <w:b/>
        </w:rPr>
        <w:t>Keine Beihilfe.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 Steuerverkuerzung zum Vorteil der Finanzbehörden?</w:t>
      </w:r>
    </w:p>
    <w:p>
      <w:pPr>
        <w:spacing w:line="259" w:lineRule="auto" w:after="60"/>
        <w:jc w:val="left"/>
      </w:pPr>
      <w:r>
        <w:t>Im Streitfall wirkt der verspätete Antrag zugunsten des Steueraufkommens (mehr Steuer für den Staat, weniger Steuerbefreiung für die Schuldnerin). Eine "Steuerhinterziehung zugunsten der Finanzbehörden" ist begrifflich ausgeschlossen.</w:t>
      </w:r>
    </w:p>
    <w:p>
      <w:pPr>
        <w:spacing w:line="259" w:lineRule="auto" w:after="60"/>
        <w:jc w:val="left"/>
      </w:pPr>
      <w:r>
        <w:t xml:space="preserve">➜ </w:t>
      </w:r>
      <w:r>
        <w:rPr>
          <w:b/>
        </w:rPr>
        <w:t>Keine Hinterziehung.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V. Sonstige strafrechtliche Risiken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 § 266 StGB (Untreue) gegen StB Engelmeier?</w:t>
      </w:r>
    </w:p>
    <w:p>
      <w:pPr>
        <w:spacing w:line="259" w:lineRule="auto" w:after="60"/>
        <w:jc w:val="left"/>
      </w:pPr>
      <w:r>
        <w:t>Untreue setzt eine Vermögensbetreuungspflicht voraus. StB Engelmeier hat keine Vermögensbetreuungspflicht in dem Sinne, dass er über Vermögen der Mandantin verfügen müsste. Er hat lediglich eine Beratungspflicht. Klassische Untreuekonstellation ausgeschlossen.</w:t>
      </w:r>
    </w:p>
    <w:p>
      <w:pPr>
        <w:spacing w:line="259" w:lineRule="auto" w:after="60"/>
        <w:jc w:val="left"/>
      </w:pPr>
      <w:r>
        <w:t xml:space="preserve">➜ </w:t>
      </w:r>
      <w:r>
        <w:rPr>
          <w:b/>
        </w:rPr>
        <w:t>Kein § 266 StGB.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 § 263 StGB (Betrug) gegen StB Engelmeier?</w:t>
      </w:r>
    </w:p>
    <w:p>
      <w:pPr>
        <w:spacing w:line="259" w:lineRule="auto" w:after="60"/>
        <w:jc w:val="left"/>
      </w:pPr>
      <w:r>
        <w:t>Betrug setzt Vermögensverfügung der Geschädigten aufgrund Täuschung voraus. Hier ist die Mandantin geschädigt durch Versäumnis, nicht durch Täuschung.</w:t>
      </w:r>
    </w:p>
    <w:p>
      <w:pPr>
        <w:spacing w:line="259" w:lineRule="auto" w:after="60"/>
        <w:jc w:val="left"/>
      </w:pPr>
      <w:r>
        <w:t xml:space="preserve">➜ </w:t>
      </w:r>
      <w:r>
        <w:rPr>
          <w:b/>
        </w:rPr>
        <w:t>Kein § 263 StGB.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 Berufsrechtliche Konsequenzen StBerG?</w:t>
      </w:r>
    </w:p>
    <w:p>
      <w:pPr>
        <w:spacing w:line="259" w:lineRule="auto" w:after="60"/>
        <w:jc w:val="left"/>
      </w:pPr>
      <w:r>
        <w:t>Die Steuerberaterkammer Erfurt kann ein berufsrechtliches Verfahren gegen StB Engelmeier einleiten, falls die Mandantin oder die Sozietät Drosselberg eine Anzeige erstatten. Tatbestand: § 67 StBerG (Sorgfaltspflicht). Folgen: Verwarnung, Geldbusse, Berufsverbot.</w:t>
      </w:r>
    </w:p>
    <w:p>
      <w:pPr>
        <w:spacing w:line="259" w:lineRule="auto" w:after="60"/>
        <w:jc w:val="left"/>
      </w:pPr>
      <w:r>
        <w:t xml:space="preserve">➜ </w:t>
      </w:r>
      <w:r>
        <w:rPr>
          <w:b/>
        </w:rPr>
        <w:t>Berufsrechtliche Konsequenzen denkbar</w:t>
      </w:r>
      <w:r>
        <w:t>, aber kein Strafrecht.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 § 370 AO durch Mandantin selbst (Friedhelm/Bertha Grossbach)?</w:t>
      </w:r>
    </w:p>
    <w:p>
      <w:pPr>
        <w:spacing w:line="259" w:lineRule="auto" w:after="60"/>
        <w:jc w:val="left"/>
      </w:pPr>
      <w:r>
        <w:t>Falls die Geschäftsführer der Komplementär-GmbH den verspäteten Antrag wissentlich in Kauf nehmen und gleichzeitig versuchen, die Steuerbefreiung trotz später Antragstellung zu erlangen, könnte ein Vorsatzvorwurf auftauchen. Hier: Die Geschäftsführer Grossbach hatten Drosselbergs Aufforderungen vom 24.05. und 03.07.2026 erhalten und ihre Mitwirkung auf die rechtzeitige Antragstellung versprochen (CC in Drosselberg-Mails). Sie haben aktiv versucht, die Antragstellung zu beschleunigen. Kein Vorsatz erkennbar.</w:t>
      </w:r>
    </w:p>
    <w:p>
      <w:pPr>
        <w:spacing w:line="259" w:lineRule="auto" w:after="60"/>
        <w:jc w:val="left"/>
      </w:pPr>
      <w:r>
        <w:t xml:space="preserve">➜ </w:t>
      </w:r>
      <w:r>
        <w:rPr>
          <w:b/>
        </w:rPr>
        <w:t>Kein Vorwurf gegen Geschäftsführer Grossbach.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VI. Ergebnis und Empfehlung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370 AO (Mandantin)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370 AO (StB Engelmeier)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27 StGB Beihilfe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266 StGB Untreue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263 StGB Betrug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67 StBerG berufsrechtlich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Möglich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Empfehlung:</w:t>
      </w:r>
      <w:r>
        <w:t xml:space="preserve"> Es ist nicht erforderlich, eine Selbstanzeige nach § 371 AO zu erwägen oder einen Strafverteidiger der Mandantin zu mandatieren. Die strafrechtliche Linie ist klar verneinend. Berufsrechtlich gegen StB Engelmeier ist denkbar, aber primär zivilrechtliche Haftungsverfolgung (siehe Aktenstück 13).</w:t>
      </w:r>
    </w:p>
    <w:p>
      <w:pPr>
        <w:spacing w:line="259" w:lineRule="auto" w:after="60"/>
        <w:jc w:val="left"/>
      </w:pPr>
      <w:r>
        <w:rPr>
          <w:b/>
        </w:rPr>
        <w:t>Hinweis:</w:t>
      </w:r>
      <w:r>
        <w:t xml:space="preserve"> Diese Pruefung erfolgte unter Beachtung der Berufsrechte aller Beteiligten (§§ 43a Abs. 2 BRAO, 203 StGB). Aktenbestandteil intern.</w:t>
      </w:r>
    </w:p>
    <w:p>
      <w:pPr>
        <w:spacing w:line="259" w:lineRule="auto" w:after="60"/>
        <w:jc w:val="left"/>
      </w:pPr>
      <w:r>
        <w:t>— gez. Drosselberg / RA Vieth (extern Strafrechtsverteidiger), 18.07.2026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