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17 Szenario A — Kein steuerlicher Sanierungsgewinn nach § 3a III EStG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Hypothese</w:t>
      </w:r>
    </w:p>
    <w:p>
      <w:pPr>
        <w:spacing w:line="259" w:lineRule="auto" w:after="60"/>
        <w:jc w:val="left"/>
      </w:pPr>
      <w:r>
        <w:t>Falls der Verlustvortrag (KSt) höher wäre als der Sanierungsertrag, würde § 3a Abs. 3 EStG den Sanierungsertrag voll absorbieren. § 3a Abs. 1 EStG-Befreiung wäre materiell überflüssig.</w:t>
      </w:r>
    </w:p>
    <w:p>
      <w:pPr>
        <w:spacing w:line="259" w:lineRule="auto" w:after="60"/>
        <w:jc w:val="left"/>
      </w:pPr>
      <w:r>
        <w:t xml:space="preserve">Dieses Szenario tritt im Streitfall Grossbach </w:t>
      </w:r>
      <w:r>
        <w:rPr>
          <w:b/>
        </w:rPr>
        <w:t>nicht</w:t>
      </w:r>
      <w:r>
        <w:t xml:space="preserve"> ein, weil 12 Mio EUR KSt-Verlustvortrag &lt; 38 Mio EUR Sanierungsertrag. Aber: Das Szenario ist als Prüfraster wichtig für andere Mandate. Hier wird es </w:t>
      </w:r>
      <w:r>
        <w:rPr>
          <w:b/>
        </w:rPr>
        <w:t>kontrastiv</w:t>
      </w:r>
      <w:r>
        <w:t xml:space="preserve"> durchgerechnet.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I. Modellfall (zur Illustration)</w:t>
      </w:r>
    </w:p>
    <w:p>
      <w:pPr>
        <w:spacing w:line="259" w:lineRule="auto" w:after="60"/>
        <w:jc w:val="left"/>
      </w:pPr>
      <w:r>
        <w:rPr>
          <w:b/>
        </w:rPr>
        <w:t>Annahme:</w:t>
      </w:r>
      <w:r>
        <w:t xml:space="preserve"> Verlustvortrag KSt = 40 Mio EUR; Sanierungsertrag = 38 Mio EUR.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Verrechnungsmatrix § 3a Abs. 3 EStG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Sanierungsertrag-Saldo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Anrechnung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Saldo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Start: Sanierungsertrag brutto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1: Verlust laufendes 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2: Verlustruecktrag (verfügbar 0)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3: Verlustvortrag (40 Mio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-38.000.000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Verbrauch Verlustvortrag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Verlustvortrag vor Sanierung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40.000.000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Verbrauch durch Sanierungsertrag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-38.000.000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Verlustvortrag für Folgejahre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2.000.000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Konsequenz</w:t>
      </w:r>
    </w:p>
    <w:p>
      <w:pPr>
        <w:pStyle w:val="ListBullet"/>
        <w:spacing w:line="259" w:lineRule="auto" w:after="60"/>
      </w:pPr>
      <w:r>
        <w:rPr>
          <w:b/>
        </w:rPr>
        <w:t>KSt 2026:</w:t>
      </w:r>
      <w:r>
        <w:t xml:space="preserve"> 0 EUR auf Sanierungsertrag (vollständig verbraucht durch Verlustvortrag).</w:t>
      </w:r>
    </w:p>
    <w:p>
      <w:pPr>
        <w:pStyle w:val="ListBullet"/>
        <w:spacing w:line="259" w:lineRule="auto" w:after="60"/>
      </w:pPr>
      <w:r>
        <w:rPr>
          <w:b/>
        </w:rPr>
        <w:t>§ 3a IV EStG-Antrag:</w:t>
      </w:r>
      <w:r>
        <w:t xml:space="preserve"> Materiell nicht erforderlich, weil kein steuerpflichtiger Saldo verbleibt. </w:t>
      </w:r>
      <w:r>
        <w:rPr>
          <w:b/>
        </w:rPr>
        <w:t>Aber Achtung:</w:t>
      </w:r>
      <w:r>
        <w:t xml:space="preserve"> § 3a Abs. 3 EStG-Verrechnung erfolgt </w:t>
      </w:r>
      <w:r>
        <w:rPr>
          <w:b/>
        </w:rPr>
        <w:t>zwingend</w:t>
      </w:r>
      <w:r>
        <w:t>, auch ohne Antrag. Antrag § 3a IV EStG ist nur für die Steuerbefreiung des verbleibenden Saldos erforderlich.</w:t>
      </w:r>
    </w:p>
    <w:p>
      <w:pPr>
        <w:pStyle w:val="ListBullet"/>
        <w:spacing w:line="259" w:lineRule="auto" w:after="60"/>
      </w:pPr>
      <w:r>
        <w:rPr>
          <w:b/>
        </w:rPr>
        <w:t>Verlustvortrag für Folgejahre:</w:t>
      </w:r>
      <w:r>
        <w:t xml:space="preserve"> 2 Mio EUR.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II. Anwendung auf Grossbach — Warum Szenario A nicht greift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Zahlenlage Grossbach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Verlustvortrag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Differenz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+26.000.000</w:t>
            </w:r>
          </w:p>
        </w:tc>
      </w:tr>
    </w:tbl>
    <w:p>
      <w:pPr>
        <w:spacing w:line="259" w:lineRule="auto" w:after="60"/>
        <w:jc w:val="left"/>
      </w:pPr>
      <w:r>
        <w:t xml:space="preserve">Der Sanierungsertrag übersteigt den Verlustvortrag um 26 Mio EUR. Szenario A (Verlustvortrag &gt;= Sanierungsertrag) ist </w:t>
      </w:r>
      <w:r>
        <w:rPr>
          <w:b/>
        </w:rPr>
        <w:t>nicht</w:t>
      </w:r>
      <w:r>
        <w:t xml:space="preserve"> anwendbar.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Hypothetisch (Wenn Verlustvortrag 40 Mio EUR wäre)</w:t>
      </w:r>
    </w:p>
    <w:p>
      <w:pPr>
        <w:spacing w:line="259" w:lineRule="auto" w:after="60"/>
        <w:jc w:val="left"/>
      </w:pPr>
      <w:r>
        <w:t>Wenn die Komplementär-GmbH 40 Mio EUR KSt-Verlustvortrag hätte:</w:t>
      </w:r>
    </w:p>
    <w:p>
      <w:pPr>
        <w:pStyle w:val="ListBullet"/>
        <w:spacing w:line="259" w:lineRule="auto" w:after="60"/>
      </w:pPr>
      <w:r>
        <w:t>Keine Steuerbefreiung nach § 3a Abs. 1 EStG nötig.</w:t>
      </w:r>
    </w:p>
    <w:p>
      <w:pPr>
        <w:pStyle w:val="ListBullet"/>
        <w:spacing w:line="259" w:lineRule="auto" w:after="60"/>
      </w:pPr>
      <w:r>
        <w:t>KSt 2026 auf Sanierungsertrag = 0.</w:t>
      </w:r>
    </w:p>
    <w:p>
      <w:pPr>
        <w:pStyle w:val="ListBullet"/>
        <w:spacing w:line="259" w:lineRule="auto" w:after="60"/>
      </w:pPr>
      <w:r>
        <w:t>Verbleibender Verlustvortrag für Folgejahre = 2 Mio EUR.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Praxis-Prüfraster</w:t>
      </w:r>
    </w:p>
    <w:p>
      <w:pPr>
        <w:spacing w:line="259" w:lineRule="auto" w:after="60"/>
        <w:jc w:val="left"/>
      </w:pPr>
      <w:r>
        <w:t>Bei jedem Sanierungsmandat ist als erstes zu prüfen, ob</w:t>
      </w:r>
    </w:p>
    <w:p>
      <w:pPr>
        <w:pStyle w:val="ListBullet"/>
        <w:spacing w:line="259" w:lineRule="auto" w:after="60"/>
      </w:pPr>
      <w:r>
        <w:t>Verlustvortrag KSt (auf GmbH-Ebene) und</w:t>
      </w:r>
    </w:p>
    <w:p>
      <w:pPr>
        <w:pStyle w:val="ListBullet"/>
        <w:spacing w:line="259" w:lineRule="auto" w:after="60"/>
      </w:pPr>
      <w:r>
        <w:t>Verlustvortrag GewSt (auf KG-Ebene)</w:t>
      </w:r>
    </w:p>
    <w:p>
      <w:pPr>
        <w:spacing w:line="259" w:lineRule="auto" w:after="60"/>
        <w:jc w:val="left"/>
      </w:pPr>
      <w:r>
        <w:t>ausreichen, den Sanierungsertrag voll zu absorbieren. Wenn ja: § 3a EStG-Antrag entbehrlich (faktisch); aber Verrechnung erfolgt automatisch. Wenn nein: § 3a IV EStG-Antrag zwingend.</w:t>
      </w:r>
    </w:p>
    <w:p>
      <w:pPr>
        <w:spacing w:line="259" w:lineRule="auto" w:after="60"/>
        <w:jc w:val="left"/>
      </w:pPr>
      <w:r>
        <w:t>Im Streitfall Grossbach reicht der Verlustvortrag nicht, daher Antrag § 3a IV EStG zwingend.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Querverweis Szenario B und C</w:t>
      </w:r>
    </w:p>
    <w:p>
      <w:pPr>
        <w:pStyle w:val="ListBullet"/>
        <w:spacing w:line="259" w:lineRule="auto" w:after="60"/>
      </w:pPr>
      <w:r>
        <w:rPr>
          <w:b/>
        </w:rPr>
        <w:t>Szenario B (Aktenstück 18):</w:t>
      </w:r>
      <w:r>
        <w:t xml:space="preserve"> Grossbach mit rechtzeitigem § 3a IV EStG-Antrag — Steuerbefreiung 26 Mio EUR (KSt) und 24 Mio EUR (GewSt).</w:t>
      </w:r>
    </w:p>
    <w:p>
      <w:pPr>
        <w:pStyle w:val="ListBullet"/>
        <w:spacing w:line="259" w:lineRule="auto" w:after="60"/>
      </w:pPr>
      <w:r>
        <w:rPr>
          <w:b/>
        </w:rPr>
        <w:t>Szenario C (Aktenstück 19):</w:t>
      </w:r>
      <w:r>
        <w:t xml:space="preserve"> Grossbach mit verspätetem Antrag — FG-Koeln-Linie potenziell Versagung der Steuerbefreiung.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IV. Steuerliche Sanity-Pruefung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Pruefung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 Grossbach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Reicht der KSt-Verlustvortrag?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 &lt; 38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Reicht der GewSt-Verlustvortrag?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 &lt; 38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3a EStG-Antrag erforderlich?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Ja, sonst 26 Mio EUR KSt-pflichtig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7b GewStG-Antrag erforderlich?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Ja, sonst 24 Mio EUR GewSt-pflichtig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rechtzeitig (vor Plan-Bestätigung)?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Empfohlen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(faktisch verspätet)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V. Schluss</w:t>
      </w:r>
    </w:p>
    <w:p>
      <w:pPr>
        <w:spacing w:line="259" w:lineRule="auto" w:after="60"/>
        <w:jc w:val="left"/>
      </w:pPr>
      <w:r>
        <w:t xml:space="preserve">Szenario A ("kein steuerlicher Sanierungsgewinn, weil Verlustvortrag ausreicht") trifft auf Grossbach </w:t>
      </w:r>
      <w:r>
        <w:rPr>
          <w:b/>
        </w:rPr>
        <w:t>nicht</w:t>
      </w:r>
      <w:r>
        <w:t xml:space="preserve"> zu. Daher ist der § 3a EStG-Antrag zwingend erforderlich. Die folgenden Aktenstücke 18 und 19 entwickeln die beiden realen Pfade (rechtzeitig vs. verspätet).</w:t>
      </w:r>
    </w:p>
    <w:p>
      <w:pPr>
        <w:spacing w:line="259" w:lineRule="auto" w:after="60"/>
        <w:jc w:val="left"/>
      </w:pPr>
      <w:r>
        <w:t>— gez. Voltz (StB), 22.07.2026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