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19 Szenario C — Antrag § 3a IV EStG verspätet (FG Koeln 12 K 1413/25)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Hypothese und Realität im Streitfall</w:t>
      </w:r>
    </w:p>
    <w:p>
      <w:pPr>
        <w:spacing w:line="259" w:lineRule="auto" w:after="60"/>
        <w:jc w:val="left"/>
      </w:pPr>
      <w:r>
        <w:t xml:space="preserve">Im Streitfall Grossbach wurde der § 3a IV EStG-Antrag durch StB Engelmeier erst am </w:t>
      </w:r>
      <w:r>
        <w:rPr>
          <w:b/>
        </w:rPr>
        <w:t>02.07.2026</w:t>
      </w:r>
      <w:r>
        <w:t xml:space="preserve"> eingereicht — sieben Tage nach Plan-Bestätigung (25.06.2026). Das FA Erfurt kann sich auf die Linie des FG Koeln, Urteil v. 04.11.2025 — 12 K 1413/25 berufen und die Steuerbefreiung versagen.</w:t>
      </w:r>
    </w:p>
    <w:p>
      <w:pPr>
        <w:spacing w:line="259" w:lineRule="auto" w:after="60"/>
        <w:jc w:val="left"/>
      </w:pPr>
      <w:r>
        <w:t xml:space="preserve">Dieses Szenario ist die </w:t>
      </w:r>
      <w:r>
        <w:rPr>
          <w:b/>
        </w:rPr>
        <w:t>reale Akte</w:t>
      </w:r>
      <w:r>
        <w:t>. Hier werden die Folgen durchgerechnet.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Risiko-Schritte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Schritt 1: FA Erfurt erlässt KSt-Bescheid 2026 ohne § 3a EStG-Befreiung</w:t>
      </w:r>
    </w:p>
    <w:p>
      <w:pPr>
        <w:spacing w:line="259" w:lineRule="auto" w:after="60"/>
        <w:jc w:val="left"/>
      </w:pPr>
      <w:r>
        <w:t>Annahme: März 2027 erlässt das FA Erfurt den KSt-Bescheid 2026 mit voller Steuerlast auf den Sanierungsertrag, gestützt auf FG Koeln 12 K 1413/25.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Schritt 2: Schuldnerin legt Einspruch ein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 nach § 347 AO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 Monat nach Bescheid-Zustellung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Aussetzung der Vollziehung § 361 AO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gleichzeitig mit Einspruch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Begründung Einspruch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Monate nach Einlegung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Schritt 3: FA Erfurt entscheidet über Einspruch</w:t>
      </w:r>
    </w:p>
    <w:p>
      <w:pPr>
        <w:spacing w:line="259" w:lineRule="auto" w:after="60"/>
        <w:jc w:val="left"/>
      </w:pPr>
      <w:r>
        <w:t>Wenn die Einspruchsstelle der FG-Koeln-Linie folgt: Einspruchsabweisung.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Schritt 4: Klage FG Thüringen</w:t>
      </w:r>
    </w:p>
    <w:p>
      <w:pPr>
        <w:spacing w:line="259" w:lineRule="auto" w:after="60"/>
        <w:jc w:val="left"/>
      </w:pPr>
      <w:r>
        <w:t>Klage nach § 47 FGO innerhalb von 1 Monat nach Einspruchsentscheidung. Klageantrag: Aufhebung des KSt-Bescheids 2026 und Bestätigung der § 3a EStG-Befreiung.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Schritt 5: BFH-Revision X R 8/26 anhängig</w:t>
      </w:r>
    </w:p>
    <w:p>
      <w:pPr>
        <w:spacing w:line="259" w:lineRule="auto" w:after="60"/>
        <w:jc w:val="left"/>
      </w:pPr>
      <w:r>
        <w:t>Falls das FG Thüringen die FG-Koeln-Linie übernimmt, Revision zum BFH. Az X R 8/26 ist bereits anhängig (Revision aus FG-Koeln-Verfahren).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Verrechnungsmatrix bei Versagung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KSt-Ebene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GewSt-Ebene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 laufendes Jahr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Verlustvortrag (KSt 12 Mio, GewSt 14 Mio)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-12.000.000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-14.000.000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Verbleibender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Abs. 1 EStG-Befreiung (versagt)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Steuerpflichtiger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Steuerlast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15 % auf 26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 5,5 % auf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214.500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 Steuermesszahl 3,5 % auf 24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 Hebesatz Erfurt 470 %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3.948.000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Gesamt-Steuerlast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8.062.500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IV. Wirtschaftliche Folge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Plan-Erlöse aus Forderungsverzicht (gewinnerhoehend)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steuerpflichtig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26.000.000 / 24.000.000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Steuerlast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8.062.500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Plan-Liquidität vor Steuern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2.500.000 EUR (Investorengelder + Massespielraum)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Liquiditätsfehlbetrag bei Versagung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5.562.500</w:t>
            </w:r>
          </w:p>
        </w:tc>
      </w:tr>
    </w:tbl>
    <w:p>
      <w:pPr>
        <w:spacing w:line="259" w:lineRule="auto" w:after="60"/>
        <w:jc w:val="left"/>
      </w:pPr>
      <w:r>
        <w:t>Die Plan-Liquidität würde durch die Steuerlast deutlich überbeansprucht. Plan-Insolvenz droht.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Verteidigungslinie</w:t>
      </w:r>
    </w:p>
    <w:p>
      <w:pPr>
        <w:spacing w:line="259" w:lineRule="auto" w:after="60"/>
        <w:jc w:val="left"/>
      </w:pPr>
      <w:r>
        <w:t>(siehe Aktenstück 12)</w:t>
      </w:r>
    </w:p>
    <w:p>
      <w:pPr>
        <w:pStyle w:val="ListNumber"/>
        <w:spacing w:line="259" w:lineRule="auto" w:after="60"/>
      </w:pPr>
      <w:r>
        <w:rPr>
          <w:b/>
        </w:rPr>
        <w:t>Unterscheidung FG-Koeln-Fall:</w:t>
      </w:r>
      <w:r>
        <w:t xml:space="preserve"> 7 Tage Verzögerung Grossbach vs. 14 Monate FG-Koeln. Dokumentation der Sanierungsabsicht im Gläubigerausschuss-Protokoll v. 25.02.2026 ist materiell unverändert.</w:t>
      </w:r>
    </w:p>
    <w:p>
      <w:pPr>
        <w:pStyle w:val="ListNumber"/>
        <w:spacing w:line="259" w:lineRule="auto" w:after="60"/>
      </w:pPr>
      <w:r>
        <w:rPr>
          <w:b/>
        </w:rPr>
        <w:t>Wortlaut § 3a Abs. 4 EStG:</w:t>
      </w:r>
      <w:r>
        <w:t xml:space="preserve"> Keine Antragsfrist im Gesetz; Antrag bis zur Bestandskraft des KSt-Bescheids zulässig.</w:t>
      </w:r>
    </w:p>
    <w:p>
      <w:pPr>
        <w:pStyle w:val="ListNumber"/>
        <w:spacing w:line="259" w:lineRule="auto" w:after="60"/>
      </w:pPr>
      <w:r>
        <w:rPr>
          <w:b/>
        </w:rPr>
        <w:t>BMF-Schreiben v. 27.04.2017:</w:t>
      </w:r>
      <w:r>
        <w:t xml:space="preserve"> Flexible Antragstellung wird vom BMF anerkannt.</w:t>
      </w:r>
    </w:p>
    <w:p>
      <w:pPr>
        <w:pStyle w:val="ListNumber"/>
        <w:spacing w:line="259" w:lineRule="auto" w:after="60"/>
      </w:pPr>
      <w:r>
        <w:rPr>
          <w:b/>
        </w:rPr>
        <w:t>BFH-Revision X R 8/26:</w:t>
      </w:r>
      <w:r>
        <w:t xml:space="preserve"> Ruhen des Verfahrens beantragen bis zur BFH-Entscheidung.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Alternativen bei Versagung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A. Stundung § 222 AO</w:t>
      </w:r>
    </w:p>
    <w:p>
      <w:pPr>
        <w:spacing w:line="259" w:lineRule="auto" w:after="60"/>
        <w:jc w:val="left"/>
      </w:pPr>
      <w:r>
        <w:t>Stundungsantrag beim FA Erfurt mit Verweis auf Sanierung. Stundungszinsen 0,5 % pro Monat.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B. Erlass § 227 AO (Billigkeitsmassnahme)</w:t>
      </w:r>
    </w:p>
    <w:p>
      <w:pPr>
        <w:spacing w:line="259" w:lineRule="auto" w:after="60"/>
        <w:jc w:val="left"/>
      </w:pPr>
      <w:r>
        <w:t>Erlass aus persönlichen Billigkeitsgruenden (existenzbedrohend) oder sachlichen Billigkeitsgruenden (Sanierungserfolg gefährdet). Politisch durchsetzbar, wenn die Plan-Sanierung 240 Arbeitsplätze sichert.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C. Schadensersatz gegen StB Engelmeier</w:t>
      </w:r>
    </w:p>
    <w:p>
      <w:pPr>
        <w:spacing w:line="259" w:lineRule="auto" w:after="60"/>
        <w:jc w:val="left"/>
      </w:pPr>
      <w:r>
        <w:t>§ 280 BGB i.V.m. Mandatsvertrag (Aktenstück 13). Versicherer Allianz (StB-Haftpflicht).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D. Insolvenz statt Plan</w:t>
      </w:r>
    </w:p>
    <w:p>
      <w:pPr>
        <w:spacing w:line="259" w:lineRule="auto" w:after="60"/>
        <w:jc w:val="left"/>
      </w:pPr>
      <w:r>
        <w:t>Eskalationsstufe: Wenn alle anderen Wege scheitern, Folgeinsolvenz. Damit wäre die Plan-Sanierung gescheitert.</w:t>
      </w:r>
    </w:p>
    <w:p>
      <w:pPr>
        <w:spacing w:line="259" w:lineRule="auto" w:after="60"/>
        <w:jc w:val="left"/>
      </w:pPr>
      <w:r>
        <w:rPr>
          <w:b/>
        </w:rPr>
        <w:t>Querverweis Liquidationspfad:</w:t>
      </w:r>
      <w:r>
        <w:t xml:space="preserve"> FG Koeln, Urteil v. 06.03.2012 — 13 K 3006/11, GmbHR 2012, 977 (vorgehend zu BFH I R 34/12) — rangruecktrittsbehaftete Gesellschafterdarlehen bleiben bis zur Löschung passiviert; der rechentheoretisch im Loeschungszeitpunkt entstehende Gewinn ist mangels Koerperschaftsteuersubjekt nicht festsetzbar. Im Liquidationsfall wäre das Gesellschafterdarlehen Friedhelm Grossbach (4 Mio EUR) bilanziell neutralisierbar.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KSt-Bescheid 2026 (erwartet)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April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 und AdV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Juli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Einspruchsentscheidung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August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FG Thüringen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FG Thüringen Urteil (geschätzt)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2028/29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Revision BFH (X R 8/26 oder Folgeverfahren)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VIII. Empfehlung</w:t>
      </w:r>
    </w:p>
    <w:p>
      <w:pPr>
        <w:pStyle w:val="ListNumber"/>
        <w:spacing w:line="259" w:lineRule="auto" w:after="60"/>
      </w:pPr>
      <w:r>
        <w:rPr>
          <w:b/>
        </w:rPr>
        <w:t>Sofortmassnahmen:</w:t>
      </w:r>
    </w:p>
    <w:p>
      <w:pPr>
        <w:pStyle w:val="ListBullet"/>
        <w:spacing w:line="259" w:lineRule="auto" w:after="60"/>
      </w:pPr>
      <w:r>
        <w:t>Schriftliche Stellungnahme an das FA Erfurt vor Bescheid-Erlass (Anhörungsverfahren).</w:t>
      </w:r>
    </w:p>
    <w:p>
      <w:pPr>
        <w:pStyle w:val="ListBullet"/>
        <w:spacing w:line="259" w:lineRule="auto" w:after="60"/>
      </w:pPr>
      <w:r>
        <w:t>Stellungnahme StB Engelmeier zur Schadensersatzpflicht.</w:t>
      </w:r>
    </w:p>
    <w:p>
      <w:pPr>
        <w:pStyle w:val="ListBullet"/>
        <w:spacing w:line="259" w:lineRule="auto" w:after="60"/>
      </w:pPr>
      <w:r>
        <w:t>StB-Versicherung (Allianz) informieren.</w:t>
      </w:r>
    </w:p>
    <w:p>
      <w:pPr>
        <w:pStyle w:val="ListNumber"/>
        <w:spacing w:line="259" w:lineRule="auto" w:after="60"/>
      </w:pPr>
      <w:r>
        <w:rPr>
          <w:b/>
        </w:rPr>
        <w:t>Vorbereitung Einspruch und Klage</w:t>
      </w:r>
      <w:r>
        <w:t xml:space="preserve"> — siehe Aktenstück 12.</w:t>
      </w:r>
    </w:p>
    <w:p>
      <w:pPr>
        <w:pStyle w:val="ListNumber"/>
        <w:spacing w:line="259" w:lineRule="auto" w:after="60"/>
      </w:pPr>
      <w:r>
        <w:rPr>
          <w:b/>
        </w:rPr>
        <w:t>Risikoreserve aktivieren:</w:t>
      </w:r>
      <w:r>
        <w:t xml:space="preserve"> Vorläufige Rückstellung 8 Mio EUR in der Bilanz der Komplementär-GmbH.</w:t>
      </w:r>
    </w:p>
    <w:p>
      <w:pPr>
        <w:pStyle w:val="ListNumber"/>
        <w:spacing w:line="259" w:lineRule="auto" w:after="60"/>
      </w:pPr>
      <w:r>
        <w:rPr>
          <w:b/>
        </w:rPr>
        <w:t>Mandantenkommunikation:</w:t>
      </w:r>
      <w:r>
        <w:t xml:space="preserve"> Grossbach-Geschäftsführer am 21.07.2026 vollumfaenglich informieren (siehe Aktenstück 20).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IX. Bewertung Erfolgsaussichten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Argumentation gegen FG-Koeln-Anwendung (7 vs. 14 Monate)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 bis gut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BFH-Revision Erfolgschance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StB-Schadensersatz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 (Allianz-Versicherung)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 § 222 AO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Wahrscheinlich (Sanierung)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Erlass § 227 AO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Politisch denkbar (Arbeitsplätze)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X. Schluss</w:t>
      </w:r>
    </w:p>
    <w:p>
      <w:pPr>
        <w:spacing w:line="259" w:lineRule="auto" w:after="60"/>
        <w:jc w:val="left"/>
      </w:pPr>
      <w:r>
        <w:t>Szenario C ist die reale Akte. Die Mandantin sieht sich einem realen Steuerrisiko von ca. 8 Mio EUR gegenüber. Verteidigungslinie steht, aber Ausgang offen.</w:t>
      </w:r>
    </w:p>
    <w:p>
      <w:pPr>
        <w:spacing w:line="259" w:lineRule="auto" w:after="60"/>
        <w:jc w:val="left"/>
      </w:pPr>
      <w:r>
        <w:t>— gez. Drosselberg, Voltz, Pabst, 22.07.2026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