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03 Restrukturierungsplan §§ 4 ff. StaRUG — Eckpunkte Pellbach Windenergie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Verfahren:</w:t>
      </w:r>
      <w:r>
        <w:rPr>
          <w:rFonts w:ascii="Times New Roman" w:hAnsi="Times New Roman"/>
          <w:b/>
          <w:sz w:val="22"/>
        </w:rPr>
        <w:t xml:space="preserve"> AG Cottbus 92 RES 14/26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Plan-Vorlage:</w:t>
      </w:r>
      <w:r>
        <w:rPr>
          <w:rFonts w:ascii="Times New Roman" w:hAnsi="Times New Roman"/>
          <w:b/>
          <w:sz w:val="22"/>
        </w:rPr>
        <w:t xml:space="preserve"> 30.05.2026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Abstimmungstermin Plan-Versammlung:</w:t>
      </w:r>
      <w:r>
        <w:rPr>
          <w:rFonts w:ascii="Times New Roman" w:hAnsi="Times New Roman"/>
          <w:b/>
          <w:sz w:val="22"/>
        </w:rPr>
        <w:t xml:space="preserve"> 24.06.2026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Bestätigung erwartet:</w:t>
      </w:r>
      <w:r>
        <w:rPr>
          <w:rFonts w:ascii="Times New Roman" w:hAnsi="Times New Roman"/>
          <w:b/>
          <w:sz w:val="22"/>
        </w:rPr>
        <w:t xml:space="preserve"> 02.07.2026</w:t>
      </w:r>
    </w:p>
    <w:p>
      <w:pPr>
        <w:spacing w:line="259" w:lineRule="auto" w:after="60"/>
        <w:jc w:val="left"/>
      </w:pPr>
      <w:r>
        <w:rPr>
          <w:b/>
        </w:rPr>
        <w:t>Plan-Verantwortlicher:</w:t>
      </w:r>
      <w:r>
        <w:t xml:space="preserve"> Geschäftsführung Pellbach (mit Begleitung RA Reinkeller, StB Vogelweid)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Restrukturierungsbeauftragter:</w:t>
      </w:r>
      <w:r>
        <w:rPr>
          <w:rFonts w:ascii="Times New Roman" w:hAnsi="Times New Roman"/>
          <w:b/>
          <w:sz w:val="22"/>
        </w:rPr>
        <w:t xml:space="preserve"> Dr. Andreas Vellenbach, Vellenbach + Cie, Berlin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Plan-Grundidee</w:t>
      </w:r>
    </w:p>
    <w:p>
      <w:pPr>
        <w:spacing w:line="259" w:lineRule="auto" w:after="60"/>
        <w:jc w:val="left"/>
      </w:pPr>
      <w:r>
        <w:t>Vorinsolvenzliche Sanierung im StaRUG-Plan mit:</w:t>
      </w:r>
    </w:p>
    <w:p>
      <w:pPr>
        <w:pStyle w:val="ListBullet"/>
        <w:spacing w:line="259" w:lineRule="auto" w:after="60"/>
      </w:pPr>
      <w:r>
        <w:t>Forderungsverzicht des Banken-Konsortiums: 22.000.000 EUR</w:t>
      </w:r>
    </w:p>
    <w:p>
      <w:pPr>
        <w:pStyle w:val="ListBullet"/>
        <w:spacing w:line="259" w:lineRule="auto" w:after="60"/>
      </w:pPr>
      <w:r>
        <w:t>Debt-Equity-Swap des Banken-Konsortiums: 8.000.000 EUR für 35 % Anteilsübertragung</w:t>
      </w:r>
    </w:p>
    <w:p>
      <w:pPr>
        <w:pStyle w:val="ListBullet"/>
        <w:spacing w:line="259" w:lineRule="auto" w:after="60"/>
      </w:pPr>
      <w:r>
        <w:t>Stundung des Restbetrages: 5.000.000 EUR, 36 Monate, Zins 2,5 % (Basispunkt + 100 bp)</w:t>
      </w:r>
    </w:p>
    <w:p>
      <w:pPr>
        <w:pStyle w:val="ListBullet"/>
        <w:spacing w:line="259" w:lineRule="auto" w:after="60"/>
      </w:pPr>
      <w:r>
        <w:t>Operative Massnahmen (Personalanpassung, Standortkonsolidierung)</w:t>
      </w:r>
    </w:p>
    <w:p>
      <w:pPr>
        <w:pStyle w:val="ListBullet"/>
        <w:spacing w:line="259" w:lineRule="auto" w:after="60"/>
      </w:pPr>
      <w:r>
        <w:t>Strategischer Pivot zur Direktvermarktung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Plan-Gruppen (§ 9 StaRUG)</w:t>
      </w:r>
    </w:p>
    <w:p>
      <w:pPr>
        <w:spacing w:line="259" w:lineRule="auto" w:after="60"/>
        <w:jc w:val="left"/>
      </w:pPr>
      <w:r>
        <w:t>Der Restrukturierungsplan teilt die betroffenen Gläubiger in folgende Gruppen ein: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Forderungsvolumen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Plan-Inhalt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Konsortialfinanziers — NordKurland Bank AG, Commerzbank AG, ILB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47.000.000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Verzicht 22 Mio + DES 8 Mio + Stundung 5 Mio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und Sonstige Gläubiger (Forderungen &gt; 10.000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 vom Plan (reguläre Bedienung)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Pensionsverpflichtungen (PSV-pflichtig)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betroffen, reguläre Bedienung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(inkl. USt-Rückstand 1,8 Mio EUR an FA Cottbus)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betroffen, reguläre Bedienung</w:t>
            </w:r>
          </w:p>
        </w:tc>
      </w:tr>
    </w:tbl>
    <w:p>
      <w:pPr>
        <w:spacing w:line="259" w:lineRule="auto" w:after="60"/>
        <w:jc w:val="left"/>
      </w:pPr>
      <w:r>
        <w:t>Beachte: StaRUG-Pläne können sich auf bestimmte Gläubigergruppen beschränken (§ 8 Abs. 1 StaRUG). Hier ist nur Gruppe 1 (Banken-Konsortium) betroffen — sog. "Bond-only restructuring".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Verzichtsvolumen und Sanierungsertrag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Banken vor Plan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47.000.000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 (gewinnerhoehend, Sanierungsertrag)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(DES)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(keine gewinnerhoehende Wirkung; § 5 Abs. 4 EStG)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Forderungen Banken nach Plan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12.000.000</w:t>
            </w:r>
            <w:r>
              <w:rPr>
                <w:rFonts w:ascii="Times New Roman" w:hAnsi="Times New Roman"/>
                <w:sz w:val="20"/>
              </w:rPr>
              <w:t xml:space="preserve"> (= 47 - 22 - 8 - 5, vereinfacht)</w:t>
            </w:r>
          </w:p>
        </w:tc>
      </w:tr>
    </w:tbl>
    <w:p>
      <w:pPr>
        <w:spacing w:line="259" w:lineRule="auto" w:after="60"/>
        <w:jc w:val="left"/>
      </w:pPr>
      <w:r>
        <w:t>Tatsächlich verbleibt nach Plan: 47 - 22 - 8 (in EK gewandelt, für Bank zu Anschaffungskosten) - 5 (gestundet, aber fällig in 36 Monaten) = 12 Mio EUR fortbestehende Bankenforderung.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Anteilsstruktur nach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Anteilsinhaber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 Plan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 Plan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Heiko Pellbach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Christel Pellbach-Schwaegermann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 Pellbach Vermögens-GmbH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Investitionsbank Brandenburg (ILB)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5. Steuerlich relevante Plan-Elemente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Plan-Element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Steuerliche 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22 Mio EUR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i.S.v. § 3a EStG; KSt- und GewSt-pflichtig vor Befreiung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8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Werthaltiger Teil (lt. WP-Gutachten ca. 5,2 Mio EUR) = Einlage; Differenz zu Nennwert (2,8 Mio EUR) = Sanierungsertrag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5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Steuerneutral, sofern keine wesentliche Änderung der Vertragsbedingungen (Äquivalenzprüfung)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Verlustvortrag-Verbrauch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3 EStG zwingende Verrechnung; danach § 3a Abs. 1 EStG-Steuerbefreiung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Anteilsübertragung 35 % an Banken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KStG: 35 % Verlustvortrag-Untergang (2,1 Mio EUR von 6 Mio EUR KSt) — wenn § 8d KStG-Antrag nicht greift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Geschäftsbetrieb unverändert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Voraussetzung § 8d KStG (fortfuehrungsgebundener Verlustvortrag)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Sozialplan-Abfindungen 0,9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Betriebsausgaben, mindern KSt 2026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6. Plan-Zeitachse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(Az 92 RES 14/26)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Beschluss AG Cottbus: RB-Bestellung + Stabilisierungsanordnung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Auftrag DES-Werthaltigkeitsgutachten WP Buchner &amp; Voltz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vorläufig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verbindliche Auskunft § 89 AO an FA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final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§ 3a IV EStG an FA Cottbus (drei Tage vor Plan-Vorlage)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§ 7b GewStG an Stadt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§ 8d KStG an FA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bei AG Cottbus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Plan-Abstimmungstermin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Plan-Bestaetigungs-Beschluss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03.07.2026 — 31.07.2026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Beschwerde-Frist und Rechtskraft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Plan-Umsetzung Start; Anteilsübertragung an Banken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Wirtschaftsjahr 2026 endet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7. Voraussetzungen § 3a EStG (Pruefung)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Erfüllt durch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StaRUG-Verfahren AG Cottbus 92 RES 14/26 (Beschluss 17.03.2026)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02.03.2026; Update 25.05.2026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Plan-Eckpunkte: Forderungsverzicht 22 Mio + DES + Pivot Direktvermarktung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Sanierungsabsicht der Banken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Schreiben Banken-Konsortium v. 10.03.2026; Plan-Anlage 5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8. Voraussetzungen § 8d KStG (fortfuehrungsgebundener Verlustvortrag)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mit Steuererklaerung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gestellt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Geschäftsbetrieb seit Beginn 3. WJ vor Anteilserwerb unverändert (also seit 01.01.2023)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Wartungsgeschäft unverändert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Einstellung des Geschäftsbetriebs nach Anteilserwerb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Fortführung Wartung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wesentliche Änderung des Geschäftsbetriebs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Diskussionspunkt: Pivot Direktvermarktung ist Anpassung, keine wesentliche Änderung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Aufnahme zusätzliches Geschäft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Pivot Direktvermarktung ist Erweiterung des bestehenden Wartungsgeschäfts, keine Aufnahme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Organträgerschaft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ist nicht Organträgerin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Mitunternehmerschaft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ist GmbH (keine Personengesellschaft)</w:t>
            </w:r>
          </w:p>
        </w:tc>
      </w:tr>
    </w:tbl>
    <w:p>
      <w:pPr>
        <w:spacing w:line="259" w:lineRule="auto" w:after="60"/>
        <w:jc w:val="left"/>
      </w:pPr>
      <w:r>
        <w:t>➜ § 8d KStG ist anwendbar. Antrag wird gestellt.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9. EU-Beihilferechtliche Aspekte</w:t>
      </w:r>
    </w:p>
    <w:p>
      <w:pPr>
        <w:pStyle w:val="ListBullet"/>
        <w:spacing w:line="259" w:lineRule="auto" w:after="60"/>
      </w:pPr>
      <w:r>
        <w:t>§ 3a EStG-Steuerbefreiung ist allgemeine Massnahme (keine EU-Beihilfe).</w:t>
      </w:r>
    </w:p>
    <w:p>
      <w:pPr>
        <w:pStyle w:val="ListBullet"/>
        <w:spacing w:line="259" w:lineRule="auto" w:after="60"/>
      </w:pPr>
      <w:r>
        <w:t>§ 8d KStG ist allgemeine Massnahme (keine Beihilfe).</w:t>
      </w:r>
    </w:p>
    <w:p>
      <w:pPr>
        <w:pStyle w:val="ListBullet"/>
        <w:spacing w:line="259" w:lineRule="auto" w:after="60"/>
      </w:pPr>
      <w:r>
        <w:t>§ 8c Abs. 1a KStG (alte Sanierungsklausel) ist durch EU-Kommissions-Beschluss 2011/527/EU als Beihilfe eingestuft und ausser Anwendung. Aktuelle Reaktivierung wurde 2018 angestossen, ist aber nicht durchgesetzt. Im Streitfall Pellbach nicht relevant.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10. Risiko-Hinweis (intern)</w:t>
      </w:r>
    </w:p>
    <w:p>
      <w:pPr>
        <w:pStyle w:val="ListBullet"/>
        <w:spacing w:line="259" w:lineRule="auto" w:after="60"/>
      </w:pPr>
      <w:r>
        <w:t>§ 3a IV EStG-Antrag muss spätestens 27.05.2026 beim FA Cottbus eingehen. Plan-Vorlage 30.05.2026 — Antrag muss vor Vorlage stehen, um die Linie FG Koeln 12 K 1413/25 sicher zu vermeiden.</w:t>
      </w:r>
    </w:p>
    <w:p>
      <w:pPr>
        <w:pStyle w:val="ListBullet"/>
        <w:spacing w:line="259" w:lineRule="auto" w:after="60"/>
      </w:pPr>
      <w:r>
        <w:t>DES-Werthaltigkeitsgutachten wird durch WP Buchner &amp; Voltz erstellt, beauftragt am 25.03.2026, abgegeben am 30.04.2026 (vorläufig) und 15.05.2026 (final). Werthaltigkeitswert nach Gutachten: 5,2 Mio EUR; DES-Sanierungsertrag-Anteil: 2,8 Mio EUR.</w:t>
      </w:r>
    </w:p>
    <w:p>
      <w:pPr>
        <w:pStyle w:val="ListBullet"/>
        <w:spacing w:line="259" w:lineRule="auto" w:after="60"/>
      </w:pPr>
      <w:r>
        <w:t>§ 8d KStG-Antrag muss mit Steuererklaerung 2026 gestellt werden.</w:t>
      </w:r>
    </w:p>
    <w:p>
      <w:pPr>
        <w:pStyle w:val="ListBullet"/>
        <w:spacing w:line="259" w:lineRule="auto" w:after="60"/>
      </w:pPr>
      <w:r>
        <w:rPr>
          <w:b/>
        </w:rPr>
        <w:t>Bilanzielle Pruefung Stundung 5 Mio EUR</w:t>
      </w:r>
      <w:r>
        <w:t xml:space="preserve">: Die Stundung ist bilanziell als fortbestehende Verbindlichkeit zu passivieren. Voraussetzungen nach </w:t>
      </w:r>
      <w:r>
        <w:rPr>
          <w:b/>
        </w:rPr>
        <w:t>BFH, Urt. v. 30.11.2011 — I R 100/10, DStR 2012, 450</w:t>
      </w:r>
      <w:r>
        <w:t xml:space="preserve"> (bestimmter Verpflichtungsinhalt, durchsetzbar, wirtschaftliche Belastung) sind erfüllt. </w:t>
      </w:r>
      <w:r>
        <w:rPr>
          <w:b/>
        </w:rPr>
        <w:t>§ 5 Abs. 2a EStG</w:t>
      </w:r>
      <w:r>
        <w:t xml:space="preserve"> (</w:t>
      </w:r>
      <w:r>
        <w:rPr>
          <w:b/>
        </w:rPr>
        <w:t>BFH, Urt. v. 19.08.2020 — XI R 32/18, BStBl. II 2021, 279</w:t>
      </w:r>
      <w:r>
        <w:t xml:space="preserve">) greift nicht, weil die Stundung keinen Tilgungsvorbehalt ausschliesslich aus zukünftigen Gewinnen enthält. Bewertung mit dem </w:t>
      </w:r>
      <w:r>
        <w:rPr>
          <w:b/>
        </w:rPr>
        <w:t>Nennwert</w:t>
      </w:r>
      <w:r>
        <w:t xml:space="preserve"> (§ 6 Abs. 1 Nr. 3 EStG i.V.m. § 12 Abs. 1 BewG).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