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05 Sanierungsertragsberechnung — 22 Mio EUR Forderungsverzicht + DES-Anteil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Zweck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Diese Berechnung dient als Beleg für: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Antrag nach § 3a Abs. 4 EStG (Aktenstück 08),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Parallelantrag nach § 7b GewStG (Aktenstück 09),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den Antrag auf verbindliche Auskunft nach § 89 AO (Aktenstück 10),</w:t>
      </w:r>
    </w:p>
    <w:p>
      <w:pPr>
        <w:pStyle w:val="ListBullet"/>
        <w:spacing w:line="259" w:lineRule="auto" w:after="60"/>
      </w:pPr>
      <w:r>
        <w:t>den Antrag § 8d KStG (fortfuehrungsgebundener Verlustvortrag) (Aktenstück 06).</w:t>
      </w:r>
    </w:p>
    <w:p>
      <w:pPr>
        <w:spacing w:line="259" w:lineRule="auto" w:after="60"/>
        <w:jc w:val="left"/>
      </w:pPr>
      <w:r>
        <w:t>Erstellt durch StB Lothar Werner (Werner + Cie) und StB Dr. Lena Vogelweid (Sozietät Reinkeller). Stand 28.03.2026.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Komponenten des Sanierungsertrags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 Forderungsverzicht (steuerlich klar)</w:t>
      </w:r>
    </w:p>
    <w:p>
      <w:pPr>
        <w:spacing w:line="259" w:lineRule="auto" w:after="60"/>
        <w:jc w:val="left"/>
      </w:pPr>
      <w:r>
        <w:t xml:space="preserve">Der Forderungsverzicht der Banken in Höhe von </w:t>
      </w:r>
      <w:r>
        <w:rPr>
          <w:b/>
        </w:rPr>
        <w:t>22.000.000 EUR</w:t>
      </w:r>
      <w:r>
        <w:t xml:space="preserve"> ist gewinnerhoehender Sanierungsertrag i.S.v. § 3a Abs. 2 EStG.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6.600.000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22.000.000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B. Debt-Equity-Swap (DES) — Steuerstruktur</w:t>
      </w:r>
    </w:p>
    <w:p>
      <w:pPr>
        <w:spacing w:line="259" w:lineRule="auto" w:after="60"/>
        <w:jc w:val="left"/>
      </w:pPr>
      <w:r>
        <w:t xml:space="preserve">Beim DES wandelt sich die Forderung der Banken in Anteile am Eigenkapital der Schuldnerin um. Steuerlich ist dies eine </w:t>
      </w:r>
      <w:r>
        <w:rPr>
          <w:b/>
        </w:rPr>
        <w:t>Sacheinlage</w:t>
      </w:r>
      <w:r>
        <w:t>.</w:t>
      </w:r>
    </w:p>
    <w:p>
      <w:pPr>
        <w:spacing w:line="259" w:lineRule="auto" w:after="60"/>
        <w:jc w:val="left"/>
      </w:pPr>
      <w:r>
        <w:t>Die zentrale Frage: Welcher Teil ist Einlage (steuerneutral), welcher Sanierungsertrag (steuerpflichtig)?</w:t>
      </w:r>
    </w:p>
    <w:p>
      <w:pPr>
        <w:spacing w:line="259" w:lineRule="auto" w:after="60"/>
        <w:jc w:val="left"/>
      </w:pPr>
      <w:r>
        <w:rPr>
          <w:b/>
        </w:rPr>
        <w:t>Grundsatz (BMF, Schreiben v. 27.04.2017, Rn. 13; aus dem Sanierungserlass-Nachfolger):</w:t>
      </w:r>
    </w:p>
    <w:p>
      <w:pPr>
        <w:spacing w:line="259" w:lineRule="auto" w:after="60"/>
        <w:jc w:val="left"/>
      </w:pPr>
      <w:r>
        <w:t xml:space="preserve">Bei einem Debt-Equity-Swap führt die Forderungs-Einbringung in Höhe ihres tatsächlichen Werts zu einer </w:t>
      </w:r>
      <w:r>
        <w:rPr>
          <w:b/>
        </w:rPr>
        <w:t>Einlage</w:t>
      </w:r>
      <w:r>
        <w:t xml:space="preserve">, der Differenzbetrag zwischen Forderungs-Nennwert und tatsächlichem Wert zu einem </w:t>
      </w:r>
      <w:r>
        <w:rPr>
          <w:b/>
        </w:rPr>
        <w:t>Sanierungsertrag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Forderungs-Nennwert DES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Werthaltigkeit (WP-Gutachten Buchner &amp; Voltz, vorläufig 30.04.2026, final 15.05.2026)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Einlage-Anteil DES (steuerneutral)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Sanierungsertrag-Anteil DES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2.800.000</w:t>
            </w:r>
          </w:p>
        </w:tc>
      </w:tr>
    </w:tbl>
    <w:p>
      <w:pPr>
        <w:spacing w:line="259" w:lineRule="auto" w:after="60"/>
        <w:jc w:val="left"/>
      </w:pPr>
      <w:r>
        <w:t>Aufgliederung je Bank: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DES-Nennwert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Werthaltigkeit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Einlage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Sanierungsertrag-Anteil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1.400.000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1.560.000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1.560.000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1.040.000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1.040.000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560.000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2.800.000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C. Stundung 5 Mio EUR (steuerneutral)</w:t>
      </w:r>
    </w:p>
    <w:p>
      <w:pPr>
        <w:spacing w:line="259" w:lineRule="auto" w:after="60"/>
        <w:jc w:val="left"/>
      </w:pPr>
      <w:r>
        <w:t xml:space="preserve">Die Stundung des Restbetrages über 36 Monate führt </w:t>
      </w:r>
      <w:r>
        <w:rPr>
          <w:b/>
        </w:rPr>
        <w:t>nicht</w:t>
      </w:r>
      <w:r>
        <w:t xml:space="preserve"> zu einem Sanierungsertrag, weil:</w:t>
      </w:r>
    </w:p>
    <w:p>
      <w:pPr>
        <w:pStyle w:val="ListBullet"/>
        <w:spacing w:line="259" w:lineRule="auto" w:after="60"/>
      </w:pPr>
      <w:r>
        <w:t>Forderungsverzichtswirkung fehlt; Forderung bleibt voll bestehen.</w:t>
      </w:r>
    </w:p>
    <w:p>
      <w:pPr>
        <w:pStyle w:val="ListBullet"/>
        <w:spacing w:line="259" w:lineRule="auto" w:after="60"/>
      </w:pPr>
      <w:r>
        <w:t>Keine wesentliche Änderung der Vertragsbedingungen (Äquivalenzprüfung): Zinssatz 2,5 % entspricht Marktniveau.</w:t>
      </w:r>
    </w:p>
    <w:p>
      <w:pPr>
        <w:spacing w:line="259" w:lineRule="auto" w:after="60"/>
        <w:jc w:val="left"/>
      </w:pPr>
      <w:r>
        <w:t>Steuerneutralitaet ist BMF-konform (BMF, Schreiben v. 27.04.2017, Rn. 4).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Konsolidierter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 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B. DES-Sanierungsertrag-Anteil (Werthaltigkeit Gutachten 5,2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C. Stundung (steuerneutral)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i.S.v. § 3a EStG (konsolidiert)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24.800.000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IV. Empfindlichkeitsanalyse Werthaltigkeit DES</w:t>
      </w:r>
    </w:p>
    <w:p>
      <w:pPr>
        <w:spacing w:line="259" w:lineRule="auto" w:after="60"/>
        <w:jc w:val="left"/>
      </w:pPr>
      <w:r>
        <w:t>Falls die Werthaltigkeit konservativer (2 Mio EUR) oder liberaler (7,5 Mio EUR) bewertet wird: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DES-Werthaltigkeit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KSt (nach 6 Mio Verlust)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GewSt (nach 9 Mio Verlust)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Vellenbach (Plan-Annahme)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Werner konservativ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19.000.000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Banken liberal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13.500.000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Verzicht ohne DES (Hauptzahl Akte)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</w:tbl>
    <w:p>
      <w:pPr>
        <w:spacing w:line="259" w:lineRule="auto" w:after="60"/>
        <w:jc w:val="left"/>
      </w:pPr>
      <w:r>
        <w:t>In allen Varianten ist der Sanierungsertrag mit § 3a EStG-Befreiung steuerfrei. Ohne § 3a EStG-Befreiung beziffert sich die Steuerlast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KSt (15 %)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Soli (5,5 %)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GewSt (Cottbus 450 % auf 3,5 %)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Gesamt-Steuerlast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Vellenbach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2.820.000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155.100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2.488.500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181.500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2.992.500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6.474.000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Banken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2.475.000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136.125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2.126.250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4.737.375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Verzicht (ohne DES)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2.047.500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4.579.500</w:t>
            </w:r>
          </w:p>
        </w:tc>
      </w:tr>
    </w:tbl>
    <w:p>
      <w:pPr>
        <w:spacing w:line="259" w:lineRule="auto" w:after="60"/>
        <w:jc w:val="left"/>
      </w:pPr>
      <w:r>
        <w:t>Steuer-Belastung von 4,5 — 6,5 Mio EUR ohne Befreiung würde Plan-Liquidität sprengen.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Buchungstechnische Folgen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 Forderungsverzicht (Buchung)</w:t>
      </w:r>
    </w:p>
    <w:p>
      <w:pPr>
        <w:spacing w:line="259" w:lineRule="auto" w:after="60"/>
        <w:jc w:val="left"/>
      </w:pPr>
      <w:r>
        <w:t>```</w:t>
      </w:r>
    </w:p>
    <w:p>
      <w:pPr>
        <w:spacing w:line="259" w:lineRule="auto" w:after="60"/>
        <w:jc w:val="left"/>
      </w:pPr>
      <w:r>
        <w:t>Per: Bankforderungen NordKurland-Konsortium                                  22.000.000 EUR</w:t>
      </w:r>
    </w:p>
    <w:p>
      <w:pPr>
        <w:spacing w:line="259" w:lineRule="auto" w:after="60"/>
        <w:jc w:val="left"/>
      </w:pPr>
      <w:r>
        <w:t>An:   Sanierungsertrag (Ertrag, GuV)                                          22.000.000 EUR</w:t>
      </w:r>
    </w:p>
    <w:p>
      <w:pPr>
        <w:spacing w:line="259" w:lineRule="auto" w:after="60"/>
        <w:jc w:val="left"/>
      </w:pPr>
      <w:r>
        <w:t>```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 DES-Sacheinlage (Buchung — vereinfacht)</w:t>
      </w:r>
    </w:p>
    <w:p>
      <w:pPr>
        <w:spacing w:line="259" w:lineRule="auto" w:after="60"/>
        <w:jc w:val="left"/>
      </w:pPr>
      <w:r>
        <w:t>```</w:t>
      </w:r>
    </w:p>
    <w:p>
      <w:pPr>
        <w:spacing w:line="259" w:lineRule="auto" w:after="60"/>
        <w:jc w:val="left"/>
      </w:pPr>
      <w:r>
        <w:t>Per: Stammkapital (Kapitalerhoehung gegen Sacheinlage)                          50.000 EUR</w:t>
      </w:r>
    </w:p>
    <w:p>
      <w:pPr>
        <w:spacing w:line="259" w:lineRule="auto" w:after="60"/>
        <w:jc w:val="left"/>
      </w:pPr>
      <w:r>
        <w:t>Per: Kapitalruecklage                                                          5.150.000 EUR</w:t>
      </w:r>
    </w:p>
    <w:p>
      <w:pPr>
        <w:spacing w:line="259" w:lineRule="auto" w:after="60"/>
        <w:jc w:val="left"/>
      </w:pPr>
      <w:r>
        <w:t>Per: Sanierungsertrag (DES-Anteil ueber Werthaltigkeit, GuV)                  2.800.000 EUR</w:t>
      </w:r>
    </w:p>
    <w:p>
      <w:pPr>
        <w:spacing w:line="259" w:lineRule="auto" w:after="60"/>
        <w:jc w:val="left"/>
      </w:pPr>
      <w:r>
        <w:t>An:  Bankforderungen NordKurland-Konsortium                                    8.000.000 EUR</w:t>
      </w:r>
    </w:p>
    <w:p>
      <w:pPr>
        <w:spacing w:line="259" w:lineRule="auto" w:after="60"/>
        <w:jc w:val="left"/>
      </w:pPr>
      <w:r>
        <w:t>```</w:t>
      </w:r>
    </w:p>
    <w:p>
      <w:pPr>
        <w:spacing w:line="259" w:lineRule="auto" w:after="60"/>
        <w:jc w:val="left"/>
      </w:pPr>
      <w:r>
        <w:t>(Werte vereinfacht; exakte Buchung folgt im Bilanzentwurf 2026)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 Stundung (keine Buchung erforderlich, da nur Fälligkeitsänderung; Anhang-Hinweis)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§ 3a Abs. 3 EStG-Verrechnung (Vorausschau)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konsolidiert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 (KSt 6 Mio, GewSt 9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15.800.000</w:t>
            </w:r>
          </w:p>
        </w:tc>
      </w:tr>
    </w:tbl>
    <w:p>
      <w:pPr>
        <w:spacing w:line="259" w:lineRule="auto" w:after="60"/>
        <w:jc w:val="left"/>
      </w:pPr>
      <w:r>
        <w:t>(Detail in Aktenstück 07)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Stand der Akte und Hauptzahl</w:t>
      </w:r>
    </w:p>
    <w:p>
      <w:pPr>
        <w:spacing w:line="259" w:lineRule="auto" w:after="60"/>
        <w:jc w:val="left"/>
      </w:pPr>
      <w:r>
        <w:t xml:space="preserve">Für die weiteren Berechnungen wird in dieser Akte die </w:t>
      </w:r>
      <w:r>
        <w:rPr>
          <w:b/>
        </w:rPr>
        <w:t>Hauptzahl 22.000.000 EUR</w:t>
      </w:r>
      <w:r>
        <w:t xml:space="preserve"> (reiner Forderungsverzicht) verwendet, weil:</w:t>
      </w:r>
    </w:p>
    <w:p>
      <w:pPr>
        <w:pStyle w:val="ListBullet"/>
        <w:spacing w:line="259" w:lineRule="auto" w:after="60"/>
      </w:pPr>
      <w:r>
        <w:t>der DES-Anteil von 2,8 Mio EUR streitig bewertet ist;</w:t>
      </w:r>
    </w:p>
    <w:p>
      <w:pPr>
        <w:pStyle w:val="ListBullet"/>
        <w:spacing w:line="259" w:lineRule="auto" w:after="60"/>
      </w:pPr>
      <w:r>
        <w:t>die Banken-Vereinbarung den Verzicht und den DES als separate Positionen ausweist;</w:t>
      </w:r>
    </w:p>
    <w:p>
      <w:pPr>
        <w:pStyle w:val="ListBullet"/>
        <w:spacing w:line="259" w:lineRule="auto" w:after="60"/>
      </w:pPr>
      <w:r>
        <w:t>die Mandat-Vorgabe den Forderungsverzicht mit 22 Mio EUR und den DES mit 8 Mio EUR getrennt führt.</w:t>
      </w:r>
    </w:p>
    <w:p>
      <w:pPr>
        <w:spacing w:line="259" w:lineRule="auto" w:after="60"/>
        <w:jc w:val="left"/>
      </w:pPr>
      <w:r>
        <w:t>In den Aktenstücken 07, 08, 09 wird konsistent gerechnet: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(Forderungsverzicht, ohne DES)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nach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 nach § 7b/§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</w:tbl>
    <w:p>
      <w:pPr>
        <w:spacing w:line="259" w:lineRule="auto" w:after="60"/>
        <w:jc w:val="left"/>
      </w:pPr>
      <w:r>
        <w:t xml:space="preserve">Der DES-Anteil von 2,8 Mio EUR wird in einem </w:t>
      </w:r>
      <w:r>
        <w:rPr>
          <w:b/>
        </w:rPr>
        <w:t>Nachtragsantrag</w:t>
      </w:r>
      <w:r>
        <w:t xml:space="preserve"> behandelt, sobald das WP-Gutachten final vorliegt (Aktenstück 13).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Querverweis Liquidationspfad</w:t>
      </w:r>
    </w:p>
    <w:p>
      <w:pPr>
        <w:spacing w:line="259" w:lineRule="auto" w:after="60"/>
        <w:jc w:val="left"/>
      </w:pPr>
      <w:r>
        <w:t>Falls die StaRUG-Plan-Bestätigung scheitert (z. B. wenn die Gruppe-Mehrheit nicht erreicht wird oder gerichtlicher Widerspruch besteht) und die Schuldnerin in die Regelinsolvenz übergehen muss, gilt für die Sanierungsertrag-Berechnung in diesem Fall die Insolvenzplan-Variante (Akte Grossbach analog). Falls die Liquidation an die Reihe kommt, ist der Querverweis FG Koeln, Urt. v. 06.03.2012 — 13 K 3006/11, GmbHR 2012, 977 (vorgehend zu BFH, Beschl. v. 05.02.2014 — I R 34/12, BFH/NV 2014, 1014) relevant: rangruecktrittsbehaftete Verbindlichkeiten bleiben bis zur Löschung passiviert; im Loeschungszeitpunkt rechentheoretisch entstehender Gewinn nicht festsetzbar (mangels KSt-Subjekt). § 5 Abs. 2a EStG (BFH, Urt. v. 19.08.2020 — XI R 32/18, BStBl. II 2021, 279) greift nur bei reiner Zukunftsgewinn-Rangruecktrittsklausel. Im Streitfall Pellbach derzeit nicht einschlägig, weil keine Gesellschafterdarlehen mit Rangrücktritt vorliegen — die Banken-Forderungen sind klassisch.</w:t>
      </w:r>
    </w:p>
    <w:p>
      <w:pPr>
        <w:spacing w:line="259" w:lineRule="auto" w:after="60"/>
        <w:jc w:val="left"/>
      </w:pPr>
      <w:r>
        <w:t>— gez. Werner (StB), Vogelweid (StB), 28.03.2026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