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08 Antrag nach § 3a Abs. 4 EStG — Steuerfreistellung Sanierungsertrag</w:t>
      </w:r>
    </w:p>
    <w:p>
      <w:pPr>
        <w:spacing w:line="259" w:lineRule="auto" w:after="60"/>
        <w:jc w:val="left"/>
      </w:pPr>
      <w:r>
        <w:rPr>
          <w:b/>
        </w:rPr>
        <w:t>Absender:</w:t>
      </w:r>
      <w:r>
        <w:t xml:space="preserve"> Pellbach Windenergie GmbH, Pueckler-Allee 12, 03048 Cottbus, vertreten durch ihre Geschäftsführung Heiko Pellbach, diese vertreten durch StB Dr. Lena Vogelweid (Reinkeller Sanierungsrecht, Steuerteam, Berlin) und StB Lothar Werner (Werner + Cie, Cottbus)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Empfänger:</w:t>
      </w:r>
      <w:r>
        <w:rPr>
          <w:rFonts w:ascii="Times New Roman" w:hAnsi="Times New Roman"/>
          <w:b/>
          <w:sz w:val="22"/>
        </w:rPr>
        <w:t xml:space="preserve"> Finanzamt Cottbus, Karl-Liebknecht-Strasse 88, 03046 Cottbus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Datum:</w:t>
      </w:r>
      <w:r>
        <w:rPr>
          <w:rFonts w:ascii="Times New Roman" w:hAnsi="Times New Roman"/>
          <w:b w:val="0"/>
          <w:i w:val="0"/>
          <w:sz w:val="22"/>
        </w:rPr>
        <w:t xml:space="preserve"> 27.05.2026 (drei Tage vor Plan-Vorlage)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Steuernummer:</w:t>
      </w:r>
      <w:r>
        <w:rPr>
          <w:rFonts w:ascii="Times New Roman" w:hAnsi="Times New Roman"/>
          <w:b/>
          <w:sz w:val="22"/>
        </w:rPr>
        <w:t xml:space="preserve"> 062/110/47728</w:t>
      </w:r>
    </w:p>
    <w:p>
      <w:pPr>
        <w:spacing w:line="259" w:lineRule="auto" w:after="60"/>
        <w:jc w:val="left"/>
      </w:pPr>
      <w:r>
        <w:rPr>
          <w:b/>
        </w:rPr>
        <w:t>Vorgang:</w:t>
      </w:r>
      <w:r>
        <w:t xml:space="preserve"> Sanierungsertrag aus StaRUG-Restrukturierungsplan AG Cottbus 92 RES 14/26</w:t>
      </w:r>
    </w:p>
    <w:p>
      <w:pPr>
        <w:spacing w:line="259" w:lineRule="auto" w:after="60"/>
      </w:pP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Sehr geehrte Damen und Herren,</w:t>
      </w:r>
    </w:p>
    <w:p>
      <w:pPr>
        <w:spacing w:line="259" w:lineRule="auto" w:after="60"/>
        <w:jc w:val="left"/>
      </w:pPr>
      <w:r>
        <w:t>namens und im Auftrag unserer Mandantin, der Pellbach Windenergie GmbH (HRB 28811 AG Cottbus, im Folgenden "Schuldnerin"), stellen wir hiermit den</w:t>
      </w:r>
    </w:p>
    <w:p>
      <w:pPr>
        <w:spacing w:line="259" w:lineRule="auto" w:after="60"/>
        <w:jc w:val="left"/>
      </w:pPr>
      <w:r>
        <w:rPr>
          <w:b/>
        </w:rPr>
        <w:t>Antrag nach § 3a Abs. 4 EStG (i.V.m. § 8 Abs. 1 KStG)</w:t>
      </w:r>
    </w:p>
    <w:p>
      <w:pPr>
        <w:spacing w:line="259" w:lineRule="auto" w:after="60"/>
        <w:jc w:val="left"/>
      </w:pPr>
      <w:r>
        <w:t>auf Steuerfreistellung des Sanierungsertrags aus dem StaRUG-Restrukturierungsplan AG Cottbus 92 RES 14/26.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I. Sachverhalt</w:t>
      </w:r>
    </w:p>
    <w:p>
      <w:pPr>
        <w:spacing w:line="259" w:lineRule="auto" w:after="60"/>
        <w:jc w:val="left"/>
      </w:pPr>
      <w:r>
        <w:t>Mit Beschluss des AG Cottbus (Restrukturierungsgericht) vom 17.03.2026 (92 RES 14/26) ist das StaRUG-Verfahren zugunsten der Schuldnerin eröffnet. Plan-Vorlage 30.05.2026; Plan-Abstimmung 24.06.2026; Plan-Bestätigung erwartet 02.07.2026.</w:t>
      </w:r>
    </w:p>
    <w:p>
      <w:pPr>
        <w:spacing w:line="259" w:lineRule="auto" w:after="60"/>
        <w:jc w:val="left"/>
      </w:pPr>
      <w:r>
        <w:t>Der Restrukturierungsplan sieht vor:</w:t>
      </w:r>
    </w:p>
    <w:p>
      <w:pPr>
        <w:pStyle w:val="ListBullet"/>
        <w:spacing w:line="259" w:lineRule="auto" w:after="60"/>
      </w:pPr>
      <w:r>
        <w:t>Forderungsverzicht des Banken-Konsortiums (NordKurland Bank AG, Commerzbank AG, ILB) in Höhe von 22.000.000 EUR;</w:t>
      </w:r>
    </w:p>
    <w:p>
      <w:pPr>
        <w:pStyle w:val="ListBullet"/>
        <w:spacing w:line="259" w:lineRule="auto" w:after="60"/>
      </w:pPr>
      <w:r>
        <w:t>Debt-Equity-Swap des Banken-Konsortiums für 8.000.000 EUR Forderungen gegen 35 % Anteilsübertragung;</w:t>
      </w:r>
    </w:p>
    <w:p>
      <w:pPr>
        <w:pStyle w:val="ListBullet"/>
        <w:spacing w:line="259" w:lineRule="auto" w:after="60"/>
      </w:pPr>
      <w:r>
        <w:t>Stundung des Restbetrages 5.000.000 EUR über 36 Monate.</w:t>
      </w:r>
    </w:p>
    <w:p>
      <w:pPr>
        <w:spacing w:line="259" w:lineRule="auto" w:after="60"/>
        <w:jc w:val="left"/>
      </w:pPr>
      <w:r>
        <w:t>Aus dem Forderungsverzicht entsteht ein Sanierungsertrag i.S.v. § 3a Abs. 2 EStG in Höhe von 22.000.000 EUR. Der DES-Anteil (gemäß Werthaltigkeitsgutachten WP Buchner &amp; Voltz 2,8 Mio EUR Sanierungsertrag-Anteil; finale Vorlage 15.05.2026, Anlage 8) wird in einem ergänzenden Schritt behandelt; primär beantragen wir die Steuerfreistellung des Forderungsverzichts.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II. Voraussetzungen § 3a Abs. 2 EStG (unternehmensbezogene Sanierung)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1. Sanierungsbedürftigkeit</w:t>
      </w:r>
    </w:p>
    <w:p>
      <w:pPr>
        <w:spacing w:line="259" w:lineRule="auto" w:after="60"/>
        <w:jc w:val="left"/>
      </w:pPr>
      <w:r>
        <w:t>Die Schuldnerin ist drohend zahlungsunfähig i.S.v. § 18 InsO. Dies ist durch die StaRUG-Anzeige am AG Cottbus 92 RES 14/26 sowie durch die Sanierungsbescheinigung StB Lothar Werner v. 12.03.2026 (Anlage 11) dokumentiert. Liquiditätsplanung mit Saldenfehlbetrag 4,8 Mio EUR ab Mai 2026 (Anlage 12).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2. Sanierungsfähigkeit</w:t>
      </w:r>
    </w:p>
    <w:p>
      <w:pPr>
        <w:spacing w:line="259" w:lineRule="auto" w:after="60"/>
        <w:jc w:val="left"/>
      </w:pPr>
      <w:r>
        <w:t>Die Sanierungsfähigkeit ist durch das IDW S6-Konzept der Reinkeller-Sozietät vom 02.03.2026 (Anlage 5) belegt. Das Konzept weist nach, dass die Schuldnerin nach Plan-Umsetzung wieder rentabel ist (positive Renditeerwartung ab Q3/2027).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3. Sanierungseignung</w:t>
      </w:r>
    </w:p>
    <w:p>
      <w:pPr>
        <w:spacing w:line="259" w:lineRule="auto" w:after="60"/>
        <w:jc w:val="left"/>
      </w:pPr>
      <w:r>
        <w:t>Die Sanierungseignung ergibt sich aus den Plan-Eckpunkten (Anlage 9):</w:t>
      </w:r>
    </w:p>
    <w:p>
      <w:pPr>
        <w:pStyle w:val="ListBullet"/>
        <w:spacing w:line="259" w:lineRule="auto" w:after="60"/>
      </w:pPr>
      <w:r>
        <w:t>Forderungsverzicht 22 Mio EUR durch Banken-Konsortium</w:t>
      </w:r>
    </w:p>
    <w:p>
      <w:pPr>
        <w:pStyle w:val="ListBullet"/>
        <w:spacing w:line="259" w:lineRule="auto" w:after="60"/>
      </w:pPr>
      <w:r>
        <w:t>DES 8 Mio EUR mit Anteilsübertragung 35 % an Banken</w:t>
      </w:r>
    </w:p>
    <w:p>
      <w:pPr>
        <w:pStyle w:val="ListBullet"/>
        <w:spacing w:line="259" w:lineRule="auto" w:after="60"/>
      </w:pPr>
      <w:r>
        <w:t>Stundung 5 Mio EUR mit 36 Monaten Restlaufzeit</w:t>
      </w:r>
    </w:p>
    <w:p>
      <w:pPr>
        <w:pStyle w:val="ListBullet"/>
        <w:spacing w:line="259" w:lineRule="auto" w:after="60"/>
      </w:pPr>
      <w:r>
        <w:t>Pivot zur Direktvermarktung (Steigerung Direktvermarktung-Anteil 15 % auf 35 % bis 2028)</w:t>
      </w:r>
    </w:p>
    <w:p>
      <w:pPr>
        <w:pStyle w:val="ListBullet"/>
        <w:spacing w:line="259" w:lineRule="auto" w:after="60"/>
      </w:pPr>
      <w:r>
        <w:t>Personalanpassung 30 Stellen (Sozialplan 0,9 Mio EUR)</w:t>
      </w:r>
    </w:p>
    <w:p>
      <w:pPr>
        <w:pStyle w:val="ListBullet"/>
        <w:spacing w:line="259" w:lineRule="auto" w:after="60"/>
      </w:pPr>
      <w:r>
        <w:t>Standortkonsolidierung (Schliessung Eberswalde)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4. Sanierungsabsicht der Banken</w:t>
      </w:r>
    </w:p>
    <w:p>
      <w:pPr>
        <w:spacing w:line="259" w:lineRule="auto" w:after="60"/>
        <w:jc w:val="left"/>
      </w:pPr>
      <w:r>
        <w:t>Die Sanierungsabsicht der Banken ist durch die Banken-Konsortium-Vereinbarung vom 10.03.2026 (Anlage 7) ausdrücklich dokumentiert. In der Präambel der Vereinbarung erklären die Banken:</w:t>
      </w:r>
    </w:p>
    <w:p>
      <w:pPr>
        <w:spacing w:line="259" w:lineRule="auto" w:after="60"/>
        <w:ind w:left="567"/>
      </w:pPr>
      <w:r>
        <w:rPr>
          <w:i/>
        </w:rPr>
        <w:t xml:space="preserve">"Die Banken bekennen sich zur wirtschaftlichen Sanierung der Pellbach Windenergie GmbH und werden im Rahmen des StaRUG-Restrukturierungsplans nach §§ 4 ff. StaRUG zu den nachstehenden Konditionen beitragen. Die Banken erklären ausdrücklich, dass sie den Verzicht und den Debt-Equity-Swap in </w:t>
      </w:r>
      <w:r>
        <w:rPr>
          <w:b/>
          <w:i/>
        </w:rPr>
        <w:t>Sanierungsabsicht</w:t>
      </w:r>
      <w:r>
        <w:rPr>
          <w:i/>
        </w:rPr>
        <w:t xml:space="preserve"> leisten."</w:t>
      </w:r>
    </w:p>
    <w:p>
      <w:pPr>
        <w:spacing w:line="259" w:lineRule="auto" w:after="60"/>
        <w:jc w:val="left"/>
      </w:pPr>
      <w:r>
        <w:t>Diese Erklärung ist im Plan-Dokument verankert und wird im Plan-Abstimmungstermin (24.06.2026) durch die Banken-Vertreter bestätigt.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III. Verlustverrechnung nach § 3a Abs. 3 EStG</w:t>
      </w:r>
    </w:p>
    <w:p>
      <w:pPr>
        <w:spacing w:line="259" w:lineRule="auto" w:after="60"/>
        <w:jc w:val="left"/>
      </w:pPr>
      <w:r>
        <w:t>Wie aus der beigefügten Verrechnungsmatrix (Anlage 2) ersichtlich: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Sanierungsertrag (Forderungsverzicht)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22.000.000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 Verlustvortrag KSt zum 31.12.2025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-6.000.000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Verbleibender Sanierungsertrag KSt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16.000.000</w:t>
            </w:r>
          </w:p>
        </w:tc>
      </w:tr>
    </w:tbl>
    <w:p>
      <w:pPr>
        <w:spacing w:line="259" w:lineRule="auto" w:after="60"/>
        <w:jc w:val="left"/>
      </w:pPr>
      <w:r>
        <w:t>Hinsichtlich der Gewerbesteuer (siehe Aktenstück 09):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Sanierungsertrag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22.000.000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 Verlustvortrag GewSt zum 31.12.2025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-9.000.000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Verbleibender Sanierungsertrag GewSt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13.000.000</w:t>
            </w:r>
          </w:p>
        </w:tc>
      </w:tr>
    </w:tbl>
    <w:p>
      <w:pPr>
        <w:pStyle w:val="Heading2"/>
        <w:spacing w:line="259" w:lineRule="auto" w:after="60"/>
      </w:pPr>
      <w:r>
        <w:rPr>
          <w:rFonts w:ascii="Times New Roman" w:hAnsi="Times New Roman"/>
        </w:rPr>
        <w:t>IV. Antrag</w:t>
      </w:r>
    </w:p>
    <w:p>
      <w:pPr>
        <w:spacing w:line="259" w:lineRule="auto" w:after="60"/>
        <w:jc w:val="left"/>
      </w:pPr>
      <w:r>
        <w:t>Wir beantragen,</w:t>
      </w:r>
    </w:p>
    <w:p>
      <w:pPr>
        <w:pStyle w:val="ListNumber"/>
        <w:spacing w:line="259" w:lineRule="auto" w:after="60"/>
      </w:pPr>
      <w:r>
        <w:t xml:space="preserve">die Steuerfreiheit des verbleibenden Sanierungsertrags nach § 3a Abs. 3 EStG für die Pellbach Windenergie GmbH in Höhe von </w:t>
      </w:r>
      <w:r>
        <w:rPr>
          <w:b/>
        </w:rPr>
        <w:t>16.000.000 EUR</w:t>
      </w:r>
      <w:r>
        <w:t xml:space="preserve"> gemäß § 3a Abs. 1 EStG festzustellen;</w:t>
      </w:r>
    </w:p>
    <w:p>
      <w:pPr>
        <w:pStyle w:val="ListNumber"/>
        <w:spacing w:line="259" w:lineRule="auto" w:after="60"/>
      </w:pPr>
      <w:r>
        <w:t>dies im KSt-Bescheid 2026 (StNr. 062/110/47728) entsprechend zu berücksichtigen;</w:t>
      </w:r>
    </w:p>
    <w:p>
      <w:pPr>
        <w:pStyle w:val="ListNumber"/>
        <w:spacing w:line="259" w:lineRule="auto" w:after="60"/>
      </w:pPr>
      <w:r>
        <w:t xml:space="preserve">den Antrag mit Wirkung </w:t>
      </w:r>
      <w:r>
        <w:rPr>
          <w:b/>
        </w:rPr>
        <w:t>vor Plan-Bestätigung 02.07.2026</w:t>
      </w:r>
      <w:r>
        <w:t xml:space="preserve"> zu registrieren (das heisst: heute, 27.05.2026, ist Antragsdatum); damit ist gewährleistet, dass die Voraussetzungen des § 3a Abs. 2 EStG im Zeitpunkt der Antragstellung </w:t>
      </w:r>
      <w:r>
        <w:rPr>
          <w:b/>
        </w:rPr>
        <w:t>vor</w:t>
      </w:r>
      <w:r>
        <w:t xml:space="preserve"> Plan-Wirksamkeit erfüllt sind;</w:t>
      </w:r>
    </w:p>
    <w:p>
      <w:pPr>
        <w:pStyle w:val="ListNumber"/>
        <w:spacing w:line="259" w:lineRule="auto" w:after="60"/>
      </w:pPr>
      <w:r>
        <w:t>uns vor Erlass des KSt-Bescheids 2026 Gelegenheit zur Stellungnahme zu geben (§ 91 AO).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V. Bindungswirkung</w:t>
      </w:r>
    </w:p>
    <w:p>
      <w:pPr>
        <w:spacing w:line="259" w:lineRule="auto" w:after="60"/>
        <w:jc w:val="left"/>
      </w:pPr>
      <w:r>
        <w:t>Wir erklären uns mit der Bindungswirkung des Antrags i.S.v. § 3a Abs. 4 EStG einverstanden. Die Verlustverrechnung nach § 3a Abs. 3 EStG (Aufzehrung von 6 Mio EUR KSt-Verlustvortrag und 9 Mio EUR GewSt-Verlustvortrag) ist ausdrücklich gewollt.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VI. Erläuternder Hinweis zum DES-Anteil</w:t>
      </w:r>
    </w:p>
    <w:p>
      <w:pPr>
        <w:spacing w:line="259" w:lineRule="auto" w:after="60"/>
        <w:jc w:val="left"/>
      </w:pPr>
      <w:r>
        <w:t>Der DES-Sanierungsertrag-Anteil (gemäß WP-Gutachten Buchner &amp; Voltz 2,8 Mio EUR; finale Vorlage 15.05.2026) wird in einem ergänzenden Antrag (Nachtragsantrag bis 31.10.2026 mit Steuererklaerung 2026) behandelt. Wir bitten, beide Anträge im KSt-Bescheid 2026 zu berücksichtigen.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VII. § 8d KStG-Antrag</w:t>
      </w:r>
    </w:p>
    <w:p>
      <w:pPr>
        <w:spacing w:line="259" w:lineRule="auto" w:after="60"/>
        <w:jc w:val="left"/>
      </w:pPr>
      <w:r>
        <w:t>Parallel zu diesem Antrag stellt die Schuldnerin den Antrag nach § 8d KStG (fortfuehrungsgebundener Verlustvortrag) wegen der mit Plan-Wirksamkeit folgenden Anteilsübertragung 35 % an das Banken-Konsortium. Der § 8d KStG-Antrag wird mit der Steuererklaerung 2026 (Frist 31.10.2026) gestellt.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VIII. Antrag auf verbindliche Auskunft § 89 AO (parallel)</w:t>
      </w:r>
    </w:p>
    <w:p>
      <w:pPr>
        <w:spacing w:line="259" w:lineRule="auto" w:after="60"/>
        <w:jc w:val="left"/>
      </w:pPr>
      <w:r>
        <w:t>Parallel haben wir mit Schreiben vom 02.05.2026 einen Antrag nach § 89 AO auf eine verbindliche Auskunft gestellt (Vorgang StaRUG 2026/14). Wir bitten, beide Anträge einheitlich zu bearbeiten.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IX. Anlagen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Anlage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Sanierungsertragsberechnung Aktenstück 05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Verrechnungsmatrix § 3a III EStG (Aktenstück 07)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Bescheid Verlustvortrag KSt 31.12.2024 v. 18.03.2025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Bescheid Gewerbeverlust GewSt 31.12.2024 v. 18.03.2025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IDW S6-Konzept Reinkeller-Sozietät v. 02.03.2026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StaRUG-Anzeige v. 14.03.2026 (Az 92 RES 14/26)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Banken-Konsortium-Vereinbarung v. 10.03.2026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DES-Werthaltigkeitsgutachten Buchner &amp; Voltz v. 15.05.2026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Plan-Eckpunkte v. 10.03.2026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HR-Auszug HRB 28811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Sanierungsbescheinigung StB Werner v. 12.03.2026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Liquiditätsplanung Mai 2026 — November 2026</w:t>
            </w:r>
          </w:p>
        </w:tc>
      </w:tr>
    </w:tbl>
    <w:p>
      <w:pPr>
        <w:spacing w:line="259" w:lineRule="auto" w:after="60"/>
      </w:pPr>
    </w:p>
    <w:p>
      <w:pPr>
        <w:spacing w:line="259" w:lineRule="auto" w:after="60"/>
        <w:jc w:val="left"/>
      </w:pPr>
      <w:r>
        <w:t>Mit freundlichen Gruessen</w:t>
      </w:r>
    </w:p>
    <w:p>
      <w:pPr>
        <w:spacing w:line="259" w:lineRule="auto" w:after="60"/>
        <w:jc w:val="left"/>
      </w:pPr>
      <w:r>
        <w:t>StB Dr. Lena Vogelweid | StB Lothar Werner</w:t>
      </w:r>
    </w:p>
    <w:p>
      <w:pPr>
        <w:spacing w:line="259" w:lineRule="auto" w:after="60"/>
        <w:jc w:val="left"/>
      </w:pPr>
      <w:r>
        <w:t>für Pellbach Windenergie GmbH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Interner Vermerk (Eingangsbestätigung)</w:t>
      </w:r>
    </w:p>
    <w:p>
      <w:pPr>
        <w:spacing w:line="259" w:lineRule="auto" w:after="60"/>
        <w:jc w:val="left"/>
      </w:pPr>
      <w:r>
        <w:t>Versand 27.05.2026, 10:14 Uhr (ELSTER). Quittungsnummer 2026/0527/10:14:35/E0974.</w:t>
      </w:r>
    </w:p>
    <w:p>
      <w:pPr>
        <w:spacing w:line="259" w:lineRule="auto" w:after="60"/>
        <w:jc w:val="left"/>
      </w:pPr>
      <w:r>
        <w:rPr>
          <w:b/>
        </w:rPr>
        <w:t>Status:</w:t>
      </w:r>
      <w:r>
        <w:t xml:space="preserve"> Eingegangen beim FA Cottbus am 27.05.2026, drei Tage vor Plan-Vorlage 30.05.2026. Damit ist die Antragstellung sicher vor allen relevanten Zeitpunkten (Vorlage, Abstimmung, Bestätigung) erfolgt. </w:t>
      </w:r>
      <w:r>
        <w:rPr>
          <w:b/>
        </w:rPr>
        <w:t>Die Linie FG Koeln 12 K 1413/25 ist nicht einschlägig</w:t>
      </w:r>
      <w:r>
        <w:t xml:space="preserve"> — siehe Aktenstück 11.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