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10 Verbindliche Auskunft § 89 AO — vor StaRUG-Plan-Bestätigung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A. Antrag verbindliche Auskunft § 89 AO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Absender:</w:t>
      </w:r>
      <w:r>
        <w:rPr>
          <w:rFonts w:ascii="Times New Roman" w:hAnsi="Times New Roman"/>
          <w:b/>
          <w:sz w:val="22"/>
        </w:rPr>
        <w:t xml:space="preserve"> Pellbach Windenergie GmbH, vertreten durch StB Dr. Lena Vogelweid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Empfänger:</w:t>
      </w:r>
      <w:r>
        <w:rPr>
          <w:rFonts w:ascii="Times New Roman" w:hAnsi="Times New Roman"/>
          <w:b/>
          <w:sz w:val="22"/>
        </w:rPr>
        <w:t xml:space="preserve"> Finanzamt Cottbus, Karl-Liebknecht-Strasse 88, 03046 Cottbus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02.05.2026 (knapp einen Monat vor Plan-Vorlage)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StNr.:</w:t>
      </w:r>
      <w:r>
        <w:rPr>
          <w:rFonts w:ascii="Times New Roman" w:hAnsi="Times New Roman"/>
          <w:b/>
          <w:sz w:val="22"/>
        </w:rPr>
        <w:t xml:space="preserve"> 062/110/47728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 Vorgang:</w:t>
      </w:r>
      <w:r>
        <w:rPr>
          <w:rFonts w:ascii="Times New Roman" w:hAnsi="Times New Roman"/>
          <w:b w:val="0"/>
          <w:i w:val="0"/>
          <w:sz w:val="22"/>
        </w:rPr>
        <w:t xml:space="preserve"> StaRUG 2026/14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Sehr geehrte Damen und Herren,</w:t>
      </w:r>
    </w:p>
    <w:p>
      <w:pPr>
        <w:spacing w:line="259" w:lineRule="auto" w:after="60"/>
        <w:jc w:val="left"/>
      </w:pPr>
      <w:r>
        <w:t>wir beantragen namens und im Auftrag unserer Mandantin, der Pellbach Windenergie GmbH (HRB 28811 AG Cottbus), eine</w:t>
      </w:r>
    </w:p>
    <w:p>
      <w:pPr>
        <w:spacing w:line="259" w:lineRule="auto" w:after="60"/>
        <w:jc w:val="left"/>
      </w:pPr>
      <w:r>
        <w:rPr>
          <w:b/>
        </w:rPr>
        <w:t>verbindliche Auskunft nach § 89 Abs. 2 AO</w:t>
      </w:r>
    </w:p>
    <w:p>
      <w:pPr>
        <w:spacing w:line="259" w:lineRule="auto" w:after="60"/>
        <w:jc w:val="left"/>
      </w:pPr>
      <w:r>
        <w:t>zu folgenden Rechtsfragen aus dem laufenden StaRUG-Verfahren AG Cottbus 92 RES 14/26.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I. Sachverhalt</w:t>
      </w:r>
    </w:p>
    <w:p>
      <w:pPr>
        <w:spacing w:line="259" w:lineRule="auto" w:after="60"/>
        <w:jc w:val="left"/>
      </w:pPr>
      <w:r>
        <w:t>Wir verweisen vollumfaenglich auf den Sachverhalt der StaRUG-Anzeige v. 14.03.2026 sowie auf das beigefügte IDW S6-Konzept (Anlage 4). Plan-Vorlage 30.05.2026; Bestätigung erwartet 02.07.2026.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II. Rechtsfragen</w:t>
      </w:r>
    </w:p>
    <w:p>
      <w:pPr>
        <w:spacing w:line="259" w:lineRule="auto" w:after="60"/>
        <w:jc w:val="left"/>
      </w:pPr>
      <w:r>
        <w:rPr>
          <w:b/>
        </w:rPr>
        <w:t>Frage 1 (Sanierung):</w:t>
      </w:r>
      <w:r>
        <w:t xml:space="preserve"> Erfüllt der vorliegende Sachverhalt die Voraussetzungen einer </w:t>
      </w:r>
      <w:r>
        <w:rPr>
          <w:b/>
        </w:rPr>
        <w:t>unternehmensbezogenen Sanierung</w:t>
      </w:r>
      <w:r>
        <w:t xml:space="preserve"> i.S.v. § 3a Abs. 2 EStG mit folgenden Merkmalen?</w:t>
      </w:r>
    </w:p>
    <w:p>
      <w:pPr>
        <w:pStyle w:val="ListBullet"/>
        <w:spacing w:line="259" w:lineRule="auto" w:after="60"/>
      </w:pPr>
      <w:r>
        <w:t>Sanierungsbedürftigkeit (StaRUG-Verfahren AG Cottbus 92 RES 14/26)</w:t>
      </w:r>
    </w:p>
    <w:p>
      <w:pPr>
        <w:pStyle w:val="ListBullet"/>
        <w:spacing w:line="259" w:lineRule="auto" w:after="60"/>
      </w:pPr>
      <w:r>
        <w:t>Sanierungsfähigkeit (IDW S6-Konzept Reinkeller-Sozietät v. 02.03.2026)</w:t>
      </w:r>
    </w:p>
    <w:p>
      <w:pPr>
        <w:pStyle w:val="ListBullet"/>
        <w:spacing w:line="259" w:lineRule="auto" w:after="60"/>
      </w:pPr>
      <w:r>
        <w:t>Sanierungseignung (Plan-Eckpunkte: Forderungsverzicht 22 Mio + DES + Pivot Direktvermarktung)</w:t>
      </w:r>
    </w:p>
    <w:p>
      <w:pPr>
        <w:pStyle w:val="ListBullet"/>
        <w:spacing w:line="259" w:lineRule="auto" w:after="60"/>
      </w:pPr>
      <w:r>
        <w:t>Sanierungsabsicht der Banken (Banken-Konsortium-Vereinbarung v. 10.03.2026)</w:t>
      </w:r>
    </w:p>
    <w:p>
      <w:pPr>
        <w:spacing w:line="259" w:lineRule="auto" w:after="60"/>
        <w:jc w:val="left"/>
      </w:pPr>
      <w:r>
        <w:rPr>
          <w:b/>
        </w:rPr>
        <w:t>Frage 2 (Verrechnung):</w:t>
      </w:r>
      <w:r>
        <w:t xml:space="preserve"> Wird der KSt-Verlustvortrag zum 31.12.2025 in Höhe von 6.000.000 EUR sowie der GewSt-Verlustvortrag zum 31.12.2025 in Höhe von 9.000.000 EUR nach § 3a Abs. 3 EStG (sinngemäß für GewSt: § 7b GewStG i.V.m. § 3a Abs. 3 EStG) </w:t>
      </w:r>
      <w:r>
        <w:rPr>
          <w:b/>
        </w:rPr>
        <w:t>zwingend mit dem Sanierungsertrag verrechnet</w:t>
      </w:r>
      <w:r>
        <w:t>, sodass der verbleibende Sanierungsertrag — 16 Mio EUR (KSt) bzw. 13 Mio EUR (GewSt) — der Steuerbefreiung nach § 3a Abs. 1 EStG bzw. § 7b GewStG unterliegt?</w:t>
      </w:r>
    </w:p>
    <w:p>
      <w:pPr>
        <w:spacing w:line="259" w:lineRule="auto" w:after="60"/>
        <w:jc w:val="left"/>
      </w:pPr>
      <w:r>
        <w:rPr>
          <w:b/>
        </w:rPr>
        <w:t>Frage 3 (DES-Werthaltigkeit):</w:t>
      </w:r>
      <w:r>
        <w:t xml:space="preserve"> Bestätigen Sie, dass der Debt-Equity-Swap (DES) der Banken (Forderungsnennwert 8.000.000 EUR; Werthaltigkeit gemäß WP-Gutachten Buchner &amp; Voltz 5.200.000 EUR) zu folgender steuerlicher Behandlung führt:</w:t>
      </w:r>
    </w:p>
    <w:p>
      <w:pPr>
        <w:pStyle w:val="ListBullet"/>
        <w:spacing w:line="259" w:lineRule="auto" w:after="60"/>
      </w:pPr>
      <w:r>
        <w:t>Einlage-Anteil: 5.200.000 EUR (steuerneutral)</w:t>
      </w:r>
    </w:p>
    <w:p>
      <w:pPr>
        <w:pStyle w:val="ListBullet"/>
        <w:spacing w:line="259" w:lineRule="auto" w:after="60"/>
      </w:pPr>
      <w:r>
        <w:t>Sanierungsertrag-Anteil DES: 2.800.000 EUR (zusätzlicher Sanierungsertrag i.S.v. § 3a EStG)?</w:t>
      </w:r>
    </w:p>
    <w:p>
      <w:pPr>
        <w:spacing w:line="259" w:lineRule="auto" w:after="60"/>
        <w:jc w:val="left"/>
      </w:pPr>
      <w:r>
        <w:rPr>
          <w:b/>
        </w:rPr>
        <w:t>Frage 4 (§ 8c KStG):</w:t>
      </w:r>
      <w:r>
        <w:t xml:space="preserve"> Wie wirkt sich die Anteilsübertragung 35 % an das Banken-Konsortium (NordKurland Bank AG 17,5 %, Commerzbank AG 10,5 %, ILB 7 %) auf den KSt-Verlustvortrag aus?</w:t>
      </w:r>
    </w:p>
    <w:p>
      <w:pPr>
        <w:pStyle w:val="ListBullet"/>
        <w:spacing w:line="259" w:lineRule="auto" w:after="60"/>
      </w:pPr>
      <w:r>
        <w:t>Wird der KSt-Verlustvortrag anteilig (35 %) untergehen?</w:t>
      </w:r>
    </w:p>
    <w:p>
      <w:pPr>
        <w:pStyle w:val="ListBullet"/>
        <w:spacing w:line="259" w:lineRule="auto" w:after="60"/>
      </w:pPr>
      <w:r>
        <w:t>Gilt § 8c Abs. 1a KStG (Sanierungsklausel) — und wenn nein, können wir § 8d KStG anwenden?</w:t>
      </w:r>
    </w:p>
    <w:p>
      <w:pPr>
        <w:pStyle w:val="ListBullet"/>
        <w:spacing w:line="259" w:lineRule="auto" w:after="60"/>
      </w:pPr>
      <w:r>
        <w:t>Bestätigen Sie das Sequencing: Verlustverrechnung nach § 3a Abs. 3 EStG erfolgt mit Plan-Wirksamkeit (Juli 2026); Anteilsübertragung erst danach (August 2026); damit ist der Verlustvortrag im Zeitpunkt der Verrechnung noch verfügbar.</w:t>
      </w:r>
    </w:p>
    <w:p>
      <w:pPr>
        <w:spacing w:line="259" w:lineRule="auto" w:after="60"/>
        <w:jc w:val="left"/>
      </w:pPr>
      <w:r>
        <w:rPr>
          <w:b/>
        </w:rPr>
        <w:t>Frage 5 (§ 8d KStG):</w:t>
      </w:r>
      <w:r>
        <w:t xml:space="preserve"> Bestätigen Sie, dass die Voraussetzungen des § 8d KStG (fortfuehrungsgebundener Verlustvortrag) erfüllt sind:</w:t>
      </w:r>
    </w:p>
    <w:p>
      <w:pPr>
        <w:pStyle w:val="ListBullet"/>
        <w:spacing w:line="259" w:lineRule="auto" w:after="60"/>
      </w:pPr>
      <w:r>
        <w:t>Geschäftsbetrieb seit drittem WJ vor Anteilserwerb (also seit 01.01.2023) unverändert.</w:t>
      </w:r>
    </w:p>
    <w:p>
      <w:pPr>
        <w:pStyle w:val="ListBullet"/>
        <w:spacing w:line="259" w:lineRule="auto" w:after="60"/>
      </w:pPr>
      <w:r>
        <w:t>Keine schädlichen Ereignisse i.S.v. § 8d Abs. 2 KStG.</w:t>
      </w:r>
    </w:p>
    <w:p>
      <w:pPr>
        <w:pStyle w:val="ListBullet"/>
        <w:spacing w:line="259" w:lineRule="auto" w:after="60"/>
      </w:pPr>
      <w:r>
        <w:t xml:space="preserve">Pivot zur Direktvermarktung (Steigerung 15 % auf 35 % bis 2028) ist Anteilssteigerung, </w:t>
      </w:r>
      <w:r>
        <w:rPr>
          <w:b/>
        </w:rPr>
        <w:t>keine</w:t>
      </w:r>
      <w:r>
        <w:t xml:space="preserve"> "Aufnahme zusätzlicher Geschäftsfelder" i.S.v. § 8d Abs. 2 Satz 2 Nr. 4 KStG.</w:t>
      </w:r>
    </w:p>
    <w:p>
      <w:pPr>
        <w:spacing w:line="259" w:lineRule="auto" w:after="60"/>
        <w:jc w:val="left"/>
      </w:pPr>
      <w:r>
        <w:rPr>
          <w:b/>
        </w:rPr>
        <w:t>Frage 6 (Antragsstellungs-Zeitpunkt):</w:t>
      </w:r>
      <w:r>
        <w:t xml:space="preserve"> Bestätigen Sie, dass der Antrag nach § 3a Abs. 4 EStG drei Tage vor Plan-Vorlage (also voraussichtlich 27.05.2026) </w:t>
      </w:r>
      <w:r>
        <w:rPr>
          <w:b/>
        </w:rPr>
        <w:t>rechtzeitig</w:t>
      </w:r>
      <w:r>
        <w:t xml:space="preserve"> im Sinne der h.M. und unter Beachtung der Linie des FG Koeln, Urteil v. 04.11.2025 — 12 K 1413/25, gestellt ist.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III. Bindungswirkungserklärung</w:t>
      </w:r>
    </w:p>
    <w:p>
      <w:pPr>
        <w:spacing w:line="259" w:lineRule="auto" w:after="60"/>
        <w:jc w:val="left"/>
      </w:pPr>
      <w:r>
        <w:t>Wir beantragen die Verbindlichkeit der Auskunft i.S.v. § 89 Abs. 2 Satz 1 AO. Eine Gebühr nach § 89 Abs. 3 AO wird nach amtlicher Festsetzung gezahlt (Streitwertanlehnung 22 Mio EUR Sanierungsertrag; Gebührenpfad amtliche Festsetzung).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IV.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(Aktenstück 05)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 (Aktenstück 07)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Buchner &amp; Voltz vorläufig 30.04.2026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HR-Auszug HRB 28811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Bescheide Verlustvortrag KSt und Gewerbeverlust GewSt 31.12.2024</w:t>
            </w:r>
          </w:p>
        </w:tc>
      </w:tr>
    </w:tbl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StB Dr. Lena Vogelweid | StB Lothar Werner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B. Zwischenstand-Antwort Finanzamt Cottbus vom 26.05.2026</w:t>
      </w:r>
    </w:p>
    <w:p>
      <w:pPr>
        <w:spacing w:line="259" w:lineRule="auto" w:after="60"/>
        <w:jc w:val="left"/>
      </w:pPr>
      <w:r>
        <w:rPr>
          <w:b/>
        </w:rPr>
        <w:t>Absender:</w:t>
      </w:r>
      <w:r>
        <w:t xml:space="preserve"> Finanzamt Cottbus, Sachgebietsleiterin KSt Frau Dr. Hella Steinmoeller</w:t>
      </w:r>
    </w:p>
    <w:p>
      <w:pPr>
        <w:spacing w:line="259" w:lineRule="auto" w:after="60"/>
        <w:jc w:val="left"/>
      </w:pPr>
      <w:r>
        <w:rPr>
          <w:b/>
        </w:rPr>
        <w:t>Empfänger:</w:t>
      </w:r>
      <w:r>
        <w:t xml:space="preserve"> StB Dr. Lena Vogelweid (Reinkeller-Sozietät)</w:t>
      </w:r>
    </w:p>
    <w:p>
      <w:pPr>
        <w:spacing w:line="259" w:lineRule="auto" w:after="60"/>
        <w:jc w:val="left"/>
      </w:pPr>
      <w:r>
        <w:rPr>
          <w:b/>
        </w:rPr>
        <w:t>Datum:</w:t>
      </w:r>
      <w:r>
        <w:t xml:space="preserve"> 26.05.2026</w:t>
      </w:r>
    </w:p>
    <w:p>
      <w:pPr>
        <w:spacing w:line="259" w:lineRule="auto" w:after="60"/>
        <w:jc w:val="left"/>
      </w:pPr>
      <w:r>
        <w:rPr>
          <w:b/>
        </w:rPr>
        <w:t>Betreff:</w:t>
      </w:r>
      <w:r>
        <w:t xml:space="preserve"> Ihr Antrag verbindliche Auskunft v. 02.05.2026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Sehr geehrte Frau Dr. Vogelweid,</w:t>
      </w:r>
    </w:p>
    <w:p>
      <w:pPr>
        <w:spacing w:line="259" w:lineRule="auto" w:after="60"/>
        <w:jc w:val="left"/>
      </w:pPr>
      <w:r>
        <w:t>Ihren Antrag habe ich erhalten. Zur Bearbeitung folgender Zwischenstand:</w:t>
      </w:r>
    </w:p>
    <w:p>
      <w:pPr>
        <w:pStyle w:val="ListNumber"/>
        <w:spacing w:line="259" w:lineRule="auto" w:after="60"/>
      </w:pPr>
      <w:r>
        <w:rPr>
          <w:b/>
        </w:rPr>
        <w:t>Frage 1 (unternehmensbezogene Sanierung):</w:t>
      </w:r>
      <w:r>
        <w:t xml:space="preserve"> Auf Basis der vorgelegten Unterlagen wird das Finanzamt voraussichtlich die Voraussetzungen einer unternehmensbezogenen Sanierung i.S.v. § 3a Abs. 2 EStG bestätigen, sobald der Restrukturierungsplan vom AG Cottbus bestätigt ist. Endgültige Stellungnahme nach Plan-Bestätigung.</w:t>
      </w:r>
    </w:p>
    <w:p>
      <w:pPr>
        <w:pStyle w:val="ListNumber"/>
        <w:spacing w:line="259" w:lineRule="auto" w:after="60"/>
      </w:pPr>
      <w:r>
        <w:rPr>
          <w:b/>
        </w:rPr>
        <w:t>Frage 2 (§ 3a III EStG-Verrechnung):</w:t>
      </w:r>
      <w:r>
        <w:t xml:space="preserve"> Die zwingende Verrechnung wird das Finanzamt anwenden. Verbrauch Verlustvortrag KSt 6 Mio EUR und GewSt 9 Mio EUR. Verbleibender Sanierungsertrag KSt 16 Mio EUR und GewSt 13 Mio EUR ist nach § 3a Abs. 1 EStG bzw. § 7b GewStG steuerfrei zu stellen.</w:t>
      </w:r>
    </w:p>
    <w:p>
      <w:pPr>
        <w:pStyle w:val="ListNumber"/>
        <w:spacing w:line="259" w:lineRule="auto" w:after="60"/>
      </w:pPr>
      <w:r>
        <w:rPr>
          <w:b/>
        </w:rPr>
        <w:t>Frage 3 (DES-Werthaltigkeit):</w:t>
      </w:r>
      <w:r>
        <w:t xml:space="preserve"> Das Finanzamt erkennt das WP-Gutachten Buchner &amp; Voltz grundsätzlich an. Werthaltigkeit 5,2 Mio EUR ergibt Einlage 5,2 Mio EUR und Sanierungsertrag-Anteil DES 2,8 Mio EUR. </w:t>
      </w:r>
      <w:r>
        <w:rPr>
          <w:b/>
        </w:rPr>
        <w:t>Voraussetzung:</w:t>
      </w:r>
      <w:r>
        <w:t xml:space="preserve"> Finalisiertes WP-Gutachten muss bis 30.06.2026 vorgelegt werden. (Anmerkung: WP-Gutachten final 15.05.2026; bereits eingegangen.)</w:t>
      </w:r>
    </w:p>
    <w:p>
      <w:pPr>
        <w:pStyle w:val="ListNumber"/>
        <w:spacing w:line="259" w:lineRule="auto" w:after="60"/>
      </w:pPr>
      <w:r>
        <w:rPr>
          <w:b/>
        </w:rPr>
        <w:t>Frage 4 (§ 8c KStG):</w:t>
      </w:r>
    </w:p>
    <w:p>
      <w:pPr>
        <w:pStyle w:val="ListBullet"/>
        <w:spacing w:line="259" w:lineRule="auto" w:after="60"/>
      </w:pPr>
      <w:r>
        <w:t>Anteilsübertragung 35 % &gt; 25 % ➜ schädlicher Beteiligungserwerb. Anteiliger Verlustuntergang ohne § 8d KStG: 2,1 Mio EUR.</w:t>
      </w:r>
    </w:p>
    <w:p>
      <w:pPr>
        <w:pStyle w:val="ListBullet"/>
        <w:spacing w:line="259" w:lineRule="auto" w:after="60"/>
      </w:pPr>
      <w:r>
        <w:t xml:space="preserve">§ 8c Abs. 1a KStG (alte Sanierungsklausel) </w:t>
      </w:r>
      <w:r>
        <w:rPr>
          <w:b/>
        </w:rPr>
        <w:t>nicht anwendbar</w:t>
      </w:r>
      <w:r>
        <w:t xml:space="preserve"> wegen EU-Beihilfe-Beschluss.</w:t>
      </w:r>
    </w:p>
    <w:p>
      <w:pPr>
        <w:pStyle w:val="ListBullet"/>
        <w:spacing w:line="259" w:lineRule="auto" w:after="60"/>
      </w:pPr>
      <w:r>
        <w:t>Sequencing ist zulässig: Sanierungsertrag entsteht 02.07.2026; Anteilsübertragung erst danach. Verlustvortrag im Zeitpunkt der Verrechnung verfügbar.</w:t>
      </w:r>
    </w:p>
    <w:p>
      <w:pPr>
        <w:pStyle w:val="ListNumber"/>
        <w:spacing w:line="259" w:lineRule="auto" w:after="60"/>
      </w:pPr>
      <w:r>
        <w:rPr>
          <w:b/>
        </w:rPr>
        <w:t>Frage 5 (§ 8d KStG):</w:t>
      </w:r>
      <w:r>
        <w:t xml:space="preserve"> Voraussetzungen erscheinen erfüllt. Pivot zur Direktvermarktung ist als Anteilssteigerung des bestehenden Geschäftsbetriebs zu werten, </w:t>
      </w:r>
      <w:r>
        <w:rPr>
          <w:b/>
        </w:rPr>
        <w:t>nicht</w:t>
      </w:r>
      <w:r>
        <w:t xml:space="preserve"> als Aufnahme zusätzlicher Geschäftsfelder. Antragstellung mit Steuererklaerung 2026 zulässig; Bindungswirkung beachtet.</w:t>
      </w:r>
    </w:p>
    <w:p>
      <w:pPr>
        <w:pStyle w:val="ListNumber"/>
        <w:spacing w:line="259" w:lineRule="auto" w:after="60"/>
      </w:pPr>
      <w:r>
        <w:rPr>
          <w:b/>
        </w:rPr>
        <w:t>Frage 6 (Antragsstellungs-Zeitpunkt):</w:t>
      </w:r>
      <w:r>
        <w:t xml:space="preserve"> Der Antrag § 3a IV EStG drei Tage vor Plan-Vorlage (27.05.2026) ist im Sinne unserer Verwaltungspraxis </w:t>
      </w:r>
      <w:r>
        <w:rPr>
          <w:b/>
        </w:rPr>
        <w:t>rechtzeitig</w:t>
      </w:r>
      <w:r>
        <w:t>. Die Linie des FG Koeln 12 K 1413/25 erfasst Fälle weit verspäteter Antragstellung; hier nicht einschlägig.</w:t>
      </w:r>
    </w:p>
    <w:p>
      <w:pPr>
        <w:spacing w:line="259" w:lineRule="auto" w:after="60"/>
        <w:jc w:val="left"/>
      </w:pPr>
      <w:r>
        <w:t>Die endgültige verbindliche Auskunft wird nach Plan-Bestätigung erteilt. Eine Gebühr nach § 89 Abs. 3 AO wird gesondert festgesetzt (Gegenstandswert 22 Mio EUR; Gebühr nach Wertstaffel).</w:t>
      </w: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Dr. Hella Steinmoeller</w:t>
      </w:r>
    </w:p>
    <w:p>
      <w:pPr>
        <w:spacing w:line="259" w:lineRule="auto" w:after="60"/>
        <w:jc w:val="left"/>
      </w:pPr>
      <w:r>
        <w:t>Sachgebietsleiterin KSt, Finanzamt Cottbus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C. Endgültige verbindliche Auskunft FA Cottbus vom 22.07.2026 (zugespitzt)</w:t>
      </w:r>
    </w:p>
    <w:p>
      <w:pPr>
        <w:spacing w:line="259" w:lineRule="auto" w:after="60"/>
        <w:jc w:val="left"/>
      </w:pPr>
      <w:r>
        <w:t>Nach Plan-Bestätigung (02.07.2026) und Rechtskraft (Ende Juli 2026) ergeht die endgültige verbindliche Auskunft FA Cottbus:</w:t>
      </w:r>
    </w:p>
    <w:p>
      <w:pPr>
        <w:spacing w:line="259" w:lineRule="auto" w:after="60"/>
        <w:ind w:left="567"/>
      </w:pPr>
      <w:r>
        <w:rPr>
          <w:i/>
        </w:rPr>
        <w:t>"Auf Basis der vorgelegten Unterlagen bestätigt das Finanzamt Cottbus die Voraussetzungen der unternehmensbezogenen Sanierung i.S.v. § 3a Abs. 2 EStG. Die Verlustverrechnung nach § 3a Abs. 3 EStG i.V.m. § 7b GewStG wird mit Wirkung zum Plan-Wirksamkeits-Tag (24.07.2026) vorgenommen. Der nach Verrechnung verbleibende Sanierungsertrag von 16.000.000 EUR (KSt) bzw. 13.000.000 EUR (GewSt) ist nach § 3a Abs. 1 EStG bzw. § 7b GewStG steuerfrei zu stellen. Der DES-Sanierungsertrag-Anteil von 2.800.000 EUR (Werthaltigkeitsgutachten Buchner &amp; Voltz v. 15.05.2026) wird in den Sanierungsertrag einbezogen und unterliegt ebenfalls der Steuerfreiheit. Der Antrag § 3a IV EStG vom 27.05.2026 ist rechtzeitig gestellt. Der Antrag § 8d KStG wird mit der Steuererklaerung 2026 bearbeitet."</w:t>
      </w:r>
    </w:p>
    <w:p>
      <w:pPr>
        <w:spacing w:line="259" w:lineRule="auto" w:after="60"/>
        <w:jc w:val="left"/>
      </w:pPr>
      <w:r>
        <w:t xml:space="preserve">Damit ist die steuerliche Lage </w:t>
      </w:r>
      <w:r>
        <w:rPr>
          <w:b/>
        </w:rPr>
        <w:t>vor</w:t>
      </w:r>
      <w:r>
        <w:t xml:space="preserve"> Bilanzstichtag 2026 geklärt. Die Sanierung ist tragfähig.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D. Gebühr verbindliche Auskunft § 89 AO</w:t>
      </w:r>
    </w:p>
    <w:p>
      <w:pPr>
        <w:spacing w:line="259" w:lineRule="auto" w:after="60"/>
        <w:jc w:val="left"/>
      </w:pPr>
      <w:r>
        <w:t xml:space="preserve">Die Gebühr nach § 89 Abs. 3 AO wird in Höhe von </w:t>
      </w:r>
      <w:r>
        <w:rPr>
          <w:b/>
        </w:rPr>
        <w:t>74.400 EUR</w:t>
      </w:r>
      <w:r>
        <w:t xml:space="preserve"> festgesetzt (Wert 22 Mio EUR, nach Wertstaffel). Diese Kosten sind im Plan-Liquiditätsplan berücksichtigt.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