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60" w:line="259" w:lineRule="auto"/>
      </w:pPr>
      <w:r>
        <w:rPr>
          <w:rFonts w:ascii="Times New Roman" w:hAnsi="Times New Roman"/>
          <w:b/>
          <w:sz w:val="28"/>
        </w:rPr>
        <w:t>11 FG Koeln 12 K 1413/25 und StaRUG-Plan-Bestätigung — Vergleich Insolvenzplan vs. StaRUG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Verfasser:</w:t>
      </w:r>
      <w:r>
        <w:rPr>
          <w:rFonts w:ascii="Times New Roman" w:hAnsi="Times New Roman"/>
          <w:b/>
          <w:sz w:val="22"/>
        </w:rPr>
        <w:t xml:space="preserve"> StB Dr. Lena Vogelweid, Reinkeller-Sozietät (Steuerteam)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 w:val="0"/>
          <w:i w:val="0"/>
          <w:sz w:val="22"/>
        </w:rPr>
        <w:t>Datum:</w:t>
      </w:r>
      <w:r>
        <w:rPr>
          <w:rFonts w:ascii="Times New Roman" w:hAnsi="Times New Roman"/>
          <w:b w:val="0"/>
          <w:i w:val="0"/>
          <w:sz w:val="22"/>
        </w:rPr>
        <w:t xml:space="preserve"> 03.04.2026</w:t>
      </w:r>
    </w:p>
    <w:p>
      <w:pPr>
        <w:pStyle w:val="Heading2"/>
        <w:spacing w:before="120" w:after="60" w:line="259" w:lineRule="auto"/>
      </w:pPr>
      <w:r>
        <w:rPr>
          <w:rFonts w:ascii="Times New Roman" w:hAnsi="Times New Roman"/>
          <w:b/>
          <w:sz w:val="22"/>
        </w:rPr>
        <w:t>I. Gegenstand</w:t>
      </w:r>
    </w:p>
    <w:p>
      <w:pPr>
        <w:spacing w:line="259" w:lineRule="auto" w:after="60"/>
        <w:jc w:val="left"/>
      </w:pPr>
      <w:r>
        <w:t>Pruefung, ob die Linie des FG Koeln, Urteil v. 04.11.2025 — 12 K 1413/25 (zur Antragstellung § 3a Abs. 4 EStG nach Insolvenzplan-Bestätigung), im Streitfall Pellbach Windenergie GmbH einschlägig ist und ob das StaRUG-Plan-Verfahren in dieser Frage anders zu behandeln ist als das Insolvenzplan-Verfahren.</w:t>
      </w:r>
    </w:p>
    <w:p>
      <w:pPr>
        <w:pStyle w:val="Heading2"/>
        <w:spacing w:before="120" w:after="60" w:line="259" w:lineRule="auto"/>
      </w:pPr>
      <w:r>
        <w:rPr>
          <w:rFonts w:ascii="Times New Roman" w:hAnsi="Times New Roman"/>
          <w:b/>
          <w:sz w:val="22"/>
        </w:rPr>
        <w:t>II. FG Koeln 12 K 1413/25 — Kerninhalt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Punkt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Inhalt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Gericht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FG Koeln, 12. Senat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Datum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04.11.2025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Aktenzeichen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12 K 1413/25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Streitgegenstand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Steuerfreistellung Sanierungsertrag § 3a EStG nach Insolvenzplanverfahren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Streitwert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6,8 Mio EUR Sanierungsertrag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Klägerin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GmbH (Maschinenbau, NRW)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Entscheidung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Klage abgewiesen; FA hat § 3a EStG-Antrag wegen verspäteter Antragstellung zu Recht abgelehnt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Revision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zugelassen (BFH-Az erwartet X R 8/26)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Antragsverspätung im FG-Koeln-Fall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14 Monate nach Plan-Bestätigung</w:t>
            </w:r>
          </w:p>
        </w:tc>
      </w:tr>
    </w:tbl>
    <w:p>
      <w:pPr>
        <w:pStyle w:val="Heading2"/>
        <w:spacing w:before="120" w:after="60" w:line="259" w:lineRule="auto"/>
      </w:pPr>
      <w:r>
        <w:rPr>
          <w:rFonts w:ascii="Times New Roman" w:hAnsi="Times New Roman"/>
          <w:b/>
          <w:sz w:val="22"/>
        </w:rPr>
        <w:t>III. Praxis-Konstellation Pellbach</w:t>
      </w:r>
    </w:p>
    <w:p>
      <w:pPr>
        <w:pStyle w:val="Heading3"/>
        <w:spacing w:before="120" w:after="60" w:line="259" w:lineRule="auto"/>
      </w:pPr>
      <w:r>
        <w:rPr>
          <w:rFonts w:ascii="Times New Roman" w:hAnsi="Times New Roman"/>
          <w:b/>
          <w:sz w:val="22"/>
        </w:rPr>
        <w:t>1. Zeitlicher Ablauf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Schritt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14.03.2026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StaRUG-Anzeige § 31 StaRUG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17.03.2026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RB-Bestellung (Vellenbach)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02.05.2026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Antrag verbindliche Auskunft § 89 AO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27.05.2026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Antrag § 3a Abs. 4 EStG</w:t>
            </w:r>
            <w:r>
              <w:rPr>
                <w:rFonts w:ascii="Times New Roman" w:hAnsi="Times New Roman"/>
                <w:sz w:val="20"/>
              </w:rPr>
              <w:t xml:space="preserve"> (drei Tage vor Plan-Vorlage)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30.05.2026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Plan-Vorlage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24.06.2026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Plan-Abstimmungstermin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02.07.2026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Plan-Bestätigung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Ende Juli 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Rechtskraft Plan</w:t>
            </w:r>
          </w:p>
        </w:tc>
      </w:tr>
    </w:tbl>
    <w:p>
      <w:pPr>
        <w:pStyle w:val="Heading3"/>
        <w:spacing w:line="259" w:lineRule="auto" w:after="60"/>
      </w:pPr>
      <w:r>
        <w:rPr>
          <w:rFonts w:ascii="Times New Roman" w:hAnsi="Times New Roman"/>
        </w:rPr>
        <w:t xml:space="preserve">2. Antragsstellung </w:t>
      </w:r>
      <w:r>
        <w:rPr>
          <w:rFonts w:ascii="Times New Roman" w:hAnsi="Times New Roman"/>
          <w:b/>
        </w:rPr>
        <w:t>vor</w:t>
      </w:r>
      <w:r>
        <w:rPr>
          <w:rFonts w:ascii="Times New Roman" w:hAnsi="Times New Roman"/>
        </w:rPr>
        <w:t xml:space="preserve"> Plan-Bestätigung</w:t>
      </w:r>
    </w:p>
    <w:p>
      <w:pPr>
        <w:spacing w:line="259" w:lineRule="auto" w:after="60"/>
        <w:jc w:val="left"/>
      </w:pPr>
      <w:r>
        <w:t xml:space="preserve">Im Streitfall Pellbach wird der Antrag § 3a IV EStG bereits </w:t>
      </w:r>
      <w:r>
        <w:rPr>
          <w:b/>
        </w:rPr>
        <w:t>am 27.05.2026</w:t>
      </w:r>
      <w:r>
        <w:t xml:space="preserve"> — 36 Tage vor Plan-Bestätigung — gestellt. Damit ist die Antragstellung sicher in der Plan-Phase, wo die Voraussetzungen des § 3a Abs. 2 EStG dokumentiert und unstreitig sind.</w:t>
      </w:r>
    </w:p>
    <w:p>
      <w:pPr>
        <w:spacing w:line="259" w:lineRule="auto" w:after="60"/>
        <w:jc w:val="left"/>
      </w:pPr>
      <w:r>
        <w:t xml:space="preserve">➜ </w:t>
      </w:r>
      <w:r>
        <w:rPr>
          <w:b/>
        </w:rPr>
        <w:t>Die Linie FG Koeln 12 K 1413/25 ist nicht einschlägig.</w:t>
      </w:r>
      <w:r>
        <w:t xml:space="preserve"> Die Verspaetungsthematik des FG-Koeln-Falls (14 Monate nach Plan-Bestätigung) ist hier ausgeschlossen.</w:t>
      </w: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IV. StaRUG-Plan vs. Insolvenzplan — Unterschiede in Bezug auf § 3a EStG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1. Wirksamwerden des Forderungsverzichts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Variante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Wirksamwerden Verzicht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Sanierungsertrag-Realisierung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Insolvenzplan (Akte 1 Grossbach)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Mit Bestaetigungs-Beschluss (§ 248 InsO) und Rechtskraft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Erfolgswirksamer Buchungszeitpunkt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StaRUG-Plan (Akte 2 Pellbach)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Mit Bestätigung des Plans durch das Restrukturierungsgericht (§ 60 StaRUG) und Rechtskraft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Erfolgswirksamer Buchungszeitpunkt</w:t>
            </w:r>
          </w:p>
        </w:tc>
      </w:tr>
    </w:tbl>
    <w:p>
      <w:pPr>
        <w:spacing w:line="259" w:lineRule="auto" w:after="60"/>
        <w:jc w:val="left"/>
      </w:pPr>
      <w:r>
        <w:t>In beiden Fällen entsteht der Sanierungsertrag zum Zeitpunkt der Plan-Rechtskraft. Steuerlich gibt es keinen kategorialen Unterschied.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2. Antragsstellung-Zeitpunkt für § 3a EStG</w:t>
      </w:r>
    </w:p>
    <w:p>
      <w:pPr>
        <w:spacing w:line="259" w:lineRule="auto" w:after="60"/>
        <w:jc w:val="left"/>
      </w:pPr>
      <w:r>
        <w:t xml:space="preserve">Sowohl im Insolvenzplan- als auch im StaRUG-Verfahren ist der Antrag § 3a Abs. 4 EStG </w:t>
      </w:r>
      <w:r>
        <w:rPr>
          <w:b/>
        </w:rPr>
        <w:t>bis zur Bestandskraft des KSt-Bescheids</w:t>
      </w:r>
      <w:r>
        <w:t xml:space="preserve"> des Sanierungsjahres stellbar. Im Praxis-Konsensus (und so von FA Cottbus in der Zwischenstand-Antwort vom 26.05.2026 bestätigt) sollte der Antrag spätestens mit der Plan-Vorlage gestellt werden, um Praeklusionsrisiken (FG Koeln 12 K 1413/25) auszuschliessen.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3. § 3a Abs. 2 EStG — Voraussetzungen im StaRUG-Plan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Voraussetzung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Insolvenzplan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StaRUG-Plan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Sanierungsbedürftigkeit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Eröffnetes Insolvenz- oder Schutzschirmverfahren (§ 270d InsO)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StaRUG-Anzeige (§ 31 StaRUG) und drohende Zahlungsunfähigkeit (§ 18 InsO)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Sanierungsfähigkeit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IDW S6-Konzept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IDW S6-Konzept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Sanierungseignung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Plan-Eckpunkte (§§ 219, 222 InsO)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Plan-Eckpunkte (§§ 4 ff. StaRUG)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Sanierungsabsicht der Gläubiger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Gläubigerausschuss-Protokoll oder Verzichtsvereinbarung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Banken-Konsortium-Vereinbarung oder Plan-Anlage Sanierungsabsicht</w:t>
            </w:r>
          </w:p>
        </w:tc>
      </w:tr>
    </w:tbl>
    <w:p>
      <w:pPr>
        <w:spacing w:line="259" w:lineRule="auto" w:after="60"/>
        <w:jc w:val="left"/>
      </w:pPr>
      <w:r>
        <w:t>In beiden Verfahren sind die Voraussetzungen gleichermassen dokumentierbar.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4. Praktische Hinweise</w:t>
      </w:r>
    </w:p>
    <w:p>
      <w:pPr>
        <w:pStyle w:val="ListBullet"/>
        <w:spacing w:line="259" w:lineRule="auto" w:after="60"/>
      </w:pPr>
      <w:r>
        <w:t>StaRUG-Pläne sind oft "Bond-only restructurings" (nur eine Gläubigergruppe), wie hier mit dem Banken-Konsortium. Dadurch ist die Sanierungsabsicht-Dokumentation einfacher (eine schriftliche Erklärung der Banken reicht).</w:t>
      </w:r>
    </w:p>
    <w:p>
      <w:pPr>
        <w:pStyle w:val="ListBullet"/>
        <w:spacing w:line="259" w:lineRule="auto" w:after="60"/>
      </w:pPr>
      <w:r>
        <w:t>Insolvenzpläne umfassen typischerweise alle Gläubigergruppen; die Sanierungsabsicht muss vom Gläubigerausschuss bestätigt werden.</w:t>
      </w:r>
    </w:p>
    <w:p>
      <w:pPr>
        <w:pStyle w:val="ListBullet"/>
        <w:spacing w:line="259" w:lineRule="auto" w:after="60"/>
      </w:pPr>
      <w:r>
        <w:t>Beide Verfahren werden vom FA Cottbus / FA Erfurt gleich behandelt; entscheidend ist die materielle Erfüllung der § 3a Abs. 2 EStG-Voraussetzungen.</w:t>
      </w: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V. Konkrete Beurteilung Streitfall Pellbach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1. Risiko-Bewertung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Punkt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Bewertung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FG Koeln 12 K 1413/25 einschlägig?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Nein</w:t>
            </w:r>
            <w:r>
              <w:rPr>
                <w:rFonts w:ascii="Times New Roman" w:hAnsi="Times New Roman"/>
                <w:sz w:val="20"/>
              </w:rPr>
              <w:t xml:space="preserve"> — Antrag vor Plan-Bestätigung gestellt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Verspätung erwartet?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Nein — strikt eingehaltener Zeitplan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FA Cottbus-Reaktion erwartet?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Positiv — Zwischenstand-Antwort 26.05.2026 bestätigt Vorgehen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Plan-Bestätigung erwartet?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Hochwahrscheinlich (Banken-Konsortium hat zugesichert; Plan-Abstimmung 24.06.2026)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§ 8c KStG / § 8d KStG-Risiko?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Mittel; durch § 8d KStG-Antrag abgesichert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DES-Werthaltigkeit-Streit?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Niedrig durch WP-Gutachten Buchner &amp; Voltz</w:t>
            </w:r>
          </w:p>
        </w:tc>
      </w:tr>
    </w:tbl>
    <w:p>
      <w:pPr>
        <w:pStyle w:val="Heading3"/>
        <w:spacing w:line="259" w:lineRule="auto" w:after="60"/>
      </w:pPr>
      <w:r>
        <w:rPr>
          <w:rFonts w:ascii="Times New Roman" w:hAnsi="Times New Roman"/>
        </w:rPr>
        <w:t>2. Empfehlung</w:t>
      </w:r>
    </w:p>
    <w:p>
      <w:pPr>
        <w:pStyle w:val="ListNumber"/>
        <w:spacing w:line="259" w:lineRule="auto" w:after="60"/>
      </w:pPr>
      <w:r>
        <w:rPr>
          <w:b/>
        </w:rPr>
        <w:t>Antrag § 3a IV EStG am 27.05.2026 stellen (drei Tage vor Plan-Vorlage).</w:t>
      </w:r>
      <w:r>
        <w:t xml:space="preserve"> Termin-Sicherheit gewährleisten; ELSTER-Quittung dokumentieren.</w:t>
      </w:r>
    </w:p>
    <w:p>
      <w:pPr>
        <w:pStyle w:val="ListNumber"/>
        <w:spacing w:line="259" w:lineRule="auto" w:after="60"/>
      </w:pPr>
      <w:r>
        <w:rPr>
          <w:b/>
        </w:rPr>
        <w:t>Antrag § 7b GewStG zeitgleich.</w:t>
      </w:r>
      <w:r>
        <w:t xml:space="preserve"> Beim Gewerbesteueramt der Stadt Cottbus.</w:t>
      </w:r>
    </w:p>
    <w:p>
      <w:pPr>
        <w:pStyle w:val="ListNumber"/>
        <w:spacing w:line="259" w:lineRule="auto" w:after="60"/>
      </w:pPr>
      <w:r>
        <w:rPr>
          <w:b/>
        </w:rPr>
        <w:t>Verbindliche Auskunft § 89 AO ausserdem.</w:t>
      </w:r>
      <w:r>
        <w:t xml:space="preserve"> Bereits am 02.05.2026 gestellt; Zwischenstand-Antwort 26.05.2026 positiv.</w:t>
      </w:r>
    </w:p>
    <w:p>
      <w:pPr>
        <w:pStyle w:val="ListNumber"/>
        <w:spacing w:line="259" w:lineRule="auto" w:after="60"/>
      </w:pPr>
      <w:r>
        <w:rPr>
          <w:b/>
        </w:rPr>
        <w:t>§ 8d KStG-Antrag</w:t>
      </w:r>
      <w:r>
        <w:t xml:space="preserve"> mit Steuererklaerung 2026 (Frist 31.10.2026 verlängert).</w:t>
      </w:r>
    </w:p>
    <w:p>
      <w:pPr>
        <w:pStyle w:val="ListNumber"/>
        <w:spacing w:line="259" w:lineRule="auto" w:after="60"/>
      </w:pPr>
      <w:r>
        <w:rPr>
          <w:b/>
        </w:rPr>
        <w:t>WP-Gutachten Buchner &amp; Voltz</w:t>
      </w:r>
      <w:r>
        <w:t xml:space="preserve"> über DES-Werthaltigkeit bis 15.05.2026 final vorlegen — vor Antragsstellung.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3. Kontrast zur Akte 1 Grossbach</w:t>
      </w:r>
    </w:p>
    <w:p>
      <w:pPr>
        <w:spacing w:line="259" w:lineRule="auto" w:after="60"/>
        <w:jc w:val="left"/>
      </w:pPr>
      <w:r>
        <w:t xml:space="preserve">Die Akte 1 Grossbach (Insolvenzplan AG Erfurt) zeigt den </w:t>
      </w:r>
      <w:r>
        <w:rPr>
          <w:b/>
        </w:rPr>
        <w:t>Fehlerpfad</w:t>
      </w:r>
      <w:r>
        <w:t xml:space="preserve">: Antrag wurde 7 Tage nach Plan-Bestätigung gestellt, was die Linie FG Koeln 12 K 1413/25 in den Raum bringt. Die Akte 2 Pellbach (StaRUG-Plan AG Cottbus) ist der </w:t>
      </w:r>
      <w:r>
        <w:rPr>
          <w:b/>
        </w:rPr>
        <w:t>Best-Practice-Pfad</w:t>
      </w:r>
      <w:r>
        <w:t>: Antrag rechtzeitig vor Plan-Vorlage.</w:t>
      </w:r>
    </w:p>
    <w:p>
      <w:pPr>
        <w:spacing w:line="259" w:lineRule="auto" w:after="60"/>
        <w:jc w:val="left"/>
      </w:pPr>
      <w:r>
        <w:t>In beiden Akten greift derselbe rechtliche Rahmen (§ 3a EStG, § 7b GewStG, § 3a Abs. 4 EStG-Antrag). Der Unterschied liegt in der Antragsstellungs-Praxis, nicht im Verfahrenstyp.</w:t>
      </w: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VI. Schluss</w:t>
      </w:r>
    </w:p>
    <w:p>
      <w:pPr>
        <w:spacing w:line="259" w:lineRule="auto" w:after="60"/>
        <w:jc w:val="left"/>
      </w:pPr>
      <w:r>
        <w:t xml:space="preserve">Die Linie FG Koeln 12 K 1413/25 ist im Streitfall Pellbach </w:t>
      </w:r>
      <w:r>
        <w:rPr>
          <w:b/>
        </w:rPr>
        <w:t>nicht einschlägig</w:t>
      </w:r>
      <w:r>
        <w:t>. Antrag rechtzeitig gestellt; FA Cottbus bestätigt das Vorgehen. Die Sanierung ist steuerlich unbelastet tragfähig — unter dem Vorbehalt, dass der § 8d KStG-Antrag durchgeht und das WP-Gutachten Buchner &amp; Voltz das FA Cottbus überzeugt.</w:t>
      </w:r>
    </w:p>
    <w:p>
      <w:pPr>
        <w:spacing w:line="259" w:lineRule="auto" w:after="60"/>
        <w:jc w:val="left"/>
      </w:pPr>
      <w:r>
        <w:t>— gez. Vogelweid (StB), 03.04.2026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rFonts w:ascii="Times New Roman" w:hAnsi="Times New Roman"/>
        <w:b w:val="0"/>
        <w:color w:val="777777"/>
        <w:sz w:val="17"/>
      </w:rPr>
      <w:t>Vertraulich | Bearbeitungsstand Juli 2026 | nur zur Aktenbearbeitung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 w:val="0"/>
        <w:i w:val="0"/>
        <w:color w:val="666666"/>
        <w:sz w:val="17"/>
      </w:rPr>
      <w:t>Lindenhof und Partner mbB | Insolvenz- und Restrukturierungsakte | Bearbeitungsstand Juli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