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Überweisung und Hilfsmittelverordnung</w:t>
      </w:r>
    </w:p>
    <w:p>
      <w:pPr>
        <w:spacing w:before="120" w:after="60" w:line="259" w:lineRule="auto"/>
        <w:jc w:val="left"/>
      </w:pPr>
      <w:r>
        <w:rPr>
          <w:rFonts w:ascii="Times New Roman" w:hAnsi="Times New Roman"/>
          <w:b/>
          <w:sz w:val="22"/>
        </w:rPr>
        <w:t>Hausarztpraxis Dr. Eva Stahlmann</w:t>
      </w:r>
    </w:p>
    <w:p>
      <w:pPr>
        <w:spacing w:before="120" w:after="60" w:line="259" w:lineRule="auto"/>
        <w:jc w:val="left"/>
      </w:pPr>
      <w:r>
        <w:rPr>
          <w:rFonts w:ascii="Times New Roman" w:hAnsi="Times New Roman"/>
          <w:b/>
          <w:sz w:val="22"/>
        </w:rPr>
        <w:t>Lange Straße 44, 26122 Oldenburg</w:t>
      </w:r>
    </w:p>
    <w:p>
      <w:pPr>
        <w:pStyle w:val="Heading2"/>
        <w:spacing w:before="120" w:after="60" w:line="259" w:lineRule="auto"/>
      </w:pPr>
      <w:r>
        <w:rPr>
          <w:rFonts w:ascii="Times New Roman" w:hAnsi="Times New Roman"/>
          <w:b/>
          <w:sz w:val="22"/>
        </w:rPr>
        <w:t>Überweisung</w:t>
      </w:r>
    </w:p>
    <w:p>
      <w:pPr>
        <w:spacing w:before="120" w:after="60" w:line="259" w:lineRule="auto"/>
        <w:jc w:val="left"/>
      </w:pPr>
      <w:r>
        <w:rPr>
          <w:rFonts w:ascii="Times New Roman" w:hAnsi="Times New Roman"/>
          <w:b w:val="0"/>
          <w:i w:val="0"/>
          <w:sz w:val="22"/>
        </w:rPr>
        <w:t>Datum: 08.05.2026</w:t>
      </w:r>
    </w:p>
    <w:p>
      <w:pPr>
        <w:spacing w:before="120" w:after="60" w:line="259" w:lineRule="auto"/>
        <w:jc w:val="left"/>
      </w:pPr>
      <w:r>
        <w:rPr>
          <w:rFonts w:ascii="Times New Roman" w:hAnsi="Times New Roman"/>
          <w:b/>
          <w:sz w:val="22"/>
        </w:rPr>
        <w:t>An: Facharztpraxis Orthopädie und Neurologie Dr. Malte Radtke, Oldenburg</w:t>
      </w:r>
    </w:p>
    <w:p>
      <w:pPr>
        <w:spacing w:before="120" w:after="60" w:line="259" w:lineRule="auto"/>
        <w:jc w:val="left"/>
      </w:pPr>
      <w:r>
        <w:rPr>
          <w:rFonts w:ascii="Times New Roman" w:hAnsi="Times New Roman"/>
          <w:b/>
          <w:sz w:val="22"/>
        </w:rPr>
        <w:t>Betreff: Heinz Körner, geboren 14.03.1948</w:t>
      </w:r>
    </w:p>
    <w:p>
      <w:pPr>
        <w:spacing w:before="120" w:after="60" w:line="259" w:lineRule="auto"/>
        <w:jc w:val="left"/>
      </w:pPr>
      <w:r>
        <w:rPr>
          <w:rFonts w:ascii="Times New Roman" w:hAnsi="Times New Roman"/>
          <w:b/>
          <w:sz w:val="22"/>
        </w:rPr>
        <w:t>Diagnosen: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Diagnose</w:t>
            </w:r>
          </w:p>
        </w:tc>
        <w:tc>
          <w:tcPr>
            <w:tcW w:type="dxa" w:w="4536"/>
          </w:tcPr>
          <w:p>
            <w:r>
              <w:rPr>
                <w:rFonts w:ascii="Times New Roman" w:hAnsi="Times New Roman"/>
                <w:b/>
                <w:sz w:val="20"/>
              </w:rPr>
              <w:t>Befundlage</w:t>
            </w:r>
          </w:p>
        </w:tc>
      </w:tr>
      <w:tr>
        <w:tc>
          <w:tcPr>
            <w:tcW w:type="dxa" w:w="4536"/>
          </w:tcPr>
          <w:p>
            <w:r>
              <w:rPr>
                <w:rFonts w:ascii="Times New Roman" w:hAnsi="Times New Roman"/>
                <w:sz w:val="20"/>
              </w:rPr>
              <w:t>Lumbale Spinalkanalstenose L3 bis L5</w:t>
            </w:r>
          </w:p>
        </w:tc>
        <w:tc>
          <w:tcPr>
            <w:tcW w:type="dxa" w:w="4536"/>
          </w:tcPr>
          <w:p>
            <w:r>
              <w:rPr>
                <w:rFonts w:ascii="Times New Roman" w:hAnsi="Times New Roman"/>
                <w:sz w:val="20"/>
              </w:rPr>
              <w:t>Zustand nach konservativer Behandlung, Belastungsschmerz, Gangunsicherheit</w:t>
            </w:r>
          </w:p>
        </w:tc>
      </w:tr>
      <w:tr>
        <w:tc>
          <w:tcPr>
            <w:tcW w:type="dxa" w:w="4536"/>
          </w:tcPr>
          <w:p>
            <w:r>
              <w:rPr>
                <w:rFonts w:ascii="Times New Roman" w:hAnsi="Times New Roman"/>
                <w:sz w:val="20"/>
              </w:rPr>
              <w:t>Diabetische Polyneuropathie</w:t>
            </w:r>
          </w:p>
        </w:tc>
        <w:tc>
          <w:tcPr>
            <w:tcW w:type="dxa" w:w="4536"/>
          </w:tcPr>
          <w:p>
            <w:r>
              <w:rPr>
                <w:rFonts w:ascii="Times New Roman" w:hAnsi="Times New Roman"/>
                <w:sz w:val="20"/>
              </w:rPr>
              <w:t>Sensibilitätsstörung beider Füße, nächtliche Schmerzen, gestörte Propriozeption</w:t>
            </w:r>
          </w:p>
        </w:tc>
      </w:tr>
      <w:tr>
        <w:tc>
          <w:tcPr>
            <w:tcW w:type="dxa" w:w="4536"/>
          </w:tcPr>
          <w:p>
            <w:r>
              <w:rPr>
                <w:rFonts w:ascii="Times New Roman" w:hAnsi="Times New Roman"/>
                <w:sz w:val="20"/>
              </w:rPr>
              <w:t>Zustand nach Hüft-TEP links 2022</w:t>
            </w:r>
          </w:p>
        </w:tc>
        <w:tc>
          <w:tcPr>
            <w:tcW w:type="dxa" w:w="4536"/>
          </w:tcPr>
          <w:p>
            <w:r>
              <w:rPr>
                <w:rFonts w:ascii="Times New Roman" w:hAnsi="Times New Roman"/>
                <w:sz w:val="20"/>
              </w:rPr>
              <w:t>eingeschränkte Belastbarkeit, Beinlängendifferenz etwa 1 cm</w:t>
            </w:r>
          </w:p>
        </w:tc>
      </w:tr>
      <w:tr>
        <w:tc>
          <w:tcPr>
            <w:tcW w:type="dxa" w:w="4536"/>
          </w:tcPr>
          <w:p>
            <w:r>
              <w:rPr>
                <w:rFonts w:ascii="Times New Roman" w:hAnsi="Times New Roman"/>
                <w:sz w:val="20"/>
              </w:rPr>
              <w:t>Arterielle Hypertonie und Herzinsuffizienz NYHA II bis III</w:t>
            </w:r>
          </w:p>
        </w:tc>
        <w:tc>
          <w:tcPr>
            <w:tcW w:type="dxa" w:w="4536"/>
          </w:tcPr>
          <w:p>
            <w:r>
              <w:rPr>
                <w:rFonts w:ascii="Times New Roman" w:hAnsi="Times New Roman"/>
                <w:sz w:val="20"/>
              </w:rPr>
              <w:t>rasche Erschöpfung, Belastungsdyspnoe</w:t>
            </w:r>
          </w:p>
        </w:tc>
      </w:tr>
      <w:tr>
        <w:tc>
          <w:tcPr>
            <w:tcW w:type="dxa" w:w="4536"/>
          </w:tcPr>
          <w:p>
            <w:r>
              <w:rPr>
                <w:rFonts w:ascii="Times New Roman" w:hAnsi="Times New Roman"/>
                <w:sz w:val="20"/>
              </w:rPr>
              <w:t>Wiederholte Stürze</w:t>
            </w:r>
          </w:p>
        </w:tc>
        <w:tc>
          <w:tcPr>
            <w:tcW w:type="dxa" w:w="4536"/>
          </w:tcPr>
          <w:p>
            <w:r>
              <w:rPr>
                <w:rFonts w:ascii="Times New Roman" w:hAnsi="Times New Roman"/>
                <w:sz w:val="20"/>
              </w:rPr>
              <w:t>zuletzt 28.04.2026 im Hausflur, 03.05.2026 auf dem Gehweg vor der Apotheke</w:t>
            </w:r>
          </w:p>
        </w:tc>
      </w:tr>
    </w:tbl>
    <w:p>
      <w:pPr>
        <w:spacing w:line="259" w:lineRule="auto" w:after="60"/>
        <w:jc w:val="left"/>
      </w:pPr>
      <w:r>
        <w:t>Fragestellung:</w:t>
      </w:r>
    </w:p>
    <w:p>
      <w:pPr>
        <w:spacing w:line="259" w:lineRule="auto" w:after="60"/>
        <w:jc w:val="left"/>
      </w:pPr>
      <w:r>
        <w:t>Prüfung der Gehleistung, Sturzgefährdung und Hilfsmittelversorgung. Nach hiesiger Einschätzung ist die bisherige Versorgung mit Rollator und Unterarmgehstütze nicht mehr ausreichend. Bitte Prüfung, ob ein Elektrorollstuhl zur Sicherung der selbständigen Mobilität im häuslichen Nahbereich erforderlich ist.</w:t>
      </w:r>
    </w:p>
    <w:p>
      <w:pPr>
        <w:pStyle w:val="Heading2"/>
        <w:spacing w:line="259" w:lineRule="auto" w:after="60"/>
      </w:pPr>
      <w:r>
        <w:rPr>
          <w:rFonts w:ascii="Times New Roman" w:hAnsi="Times New Roman"/>
        </w:rPr>
        <w:t>Hilfsmittelverordnung</w:t>
      </w:r>
    </w:p>
    <w:p>
      <w:pPr>
        <w:spacing w:line="259" w:lineRule="auto" w:after="60"/>
        <w:jc w:val="left"/>
      </w:pPr>
      <w:r>
        <w:t>Datum: 16.05.2026</w:t>
      </w:r>
    </w:p>
    <w:p>
      <w:pPr>
        <w:spacing w:line="259" w:lineRule="auto" w:after="60"/>
        <w:jc w:val="left"/>
      </w:pPr>
      <w:r>
        <w:t>Verordnet wird ein kompakter Elektrorollstuhl mit individueller Sitzanpassung, geeignet für Innenräume, Hauseingang, Gehweg und tägliche Nahbereichswege. Begründung:</w:t>
      </w:r>
    </w:p>
    <w:p>
      <w:pPr>
        <w:pStyle w:val="ListNumber"/>
        <w:spacing w:line="259" w:lineRule="auto" w:after="60"/>
      </w:pPr>
      <w:r>
        <w:t>Der Versicherte kann kurze Schritte in der Wohnung nur noch unter erheblicher Sturzgefahr gehen.</w:t>
      </w:r>
    </w:p>
    <w:p>
      <w:pPr>
        <w:pStyle w:val="ListNumber"/>
        <w:spacing w:line="259" w:lineRule="auto" w:after="60"/>
      </w:pPr>
      <w:r>
        <w:t>Eine Unterarmgehstütze führt wegen Polyneuropathie und Gleichgewichtsstörung nicht zu sicherer Mobilität.</w:t>
      </w:r>
    </w:p>
    <w:p>
      <w:pPr>
        <w:pStyle w:val="ListNumber"/>
        <w:spacing w:line="259" w:lineRule="auto" w:after="60"/>
      </w:pPr>
      <w:r>
        <w:t>Ein Rollator ist in der Wohnung wegen Türbreiten und Schwellen nur eingeschränkt nutzbar; außerhalb der Wohnung besteht bei Bordsteinkanten und Pflasterung erhebliche Sturzgefahr.</w:t>
      </w:r>
    </w:p>
    <w:p>
      <w:pPr>
        <w:pStyle w:val="ListNumber"/>
        <w:spacing w:line="259" w:lineRule="auto" w:after="60"/>
      </w:pPr>
      <w:r>
        <w:t>Ein manueller Faltrollstuhl kann wegen Herzinsuffizienz, Schulterarthrose rechts und fehlender Ausdauer nicht eigenständig angetrieben werden.</w:t>
      </w:r>
    </w:p>
    <w:p>
      <w:pPr>
        <w:pStyle w:val="ListNumber"/>
        <w:spacing w:line="259" w:lineRule="auto" w:after="60"/>
      </w:pPr>
      <w:r>
        <w:t>Ohne elektrische Mobilität ist der Versicherte auf Tochter, Nachbarn oder Krankentransport angewiesen.</w:t>
      </w:r>
    </w:p>
    <w:p>
      <w:pPr>
        <w:spacing w:line="259" w:lineRule="auto" w:after="60"/>
        <w:jc w:val="left"/>
      </w:pPr>
      <w:r>
        <w:t>Ziel der Versorgung ist nicht Komfort, sondern die selbständige Erschließung des Nahbereichs: Briefkasten, Hausarzt, Apotheke, Bäcker, Supermarkt, Friedhofsbesuch und soziale Kontakte.</w:t>
      </w:r>
    </w:p>
    <w:p>
      <w:pPr>
        <w:pStyle w:val="Heading2"/>
        <w:spacing w:line="259" w:lineRule="auto" w:after="60"/>
      </w:pPr>
      <w:r>
        <w:rPr>
          <w:rFonts w:ascii="Times New Roman" w:hAnsi="Times New Roman"/>
        </w:rPr>
        <w:t>Ärztliche Zusatznotiz</w:t>
      </w:r>
    </w:p>
    <w:p>
      <w:pPr>
        <w:spacing w:line="259" w:lineRule="auto" w:after="60"/>
        <w:jc w:val="left"/>
      </w:pPr>
      <w:r>
        <w:t>Heinz Körner zeigt eine nachvollziehbare Angst vor Stürzen. Diese Angst ist nicht allein psychisch bedingt, sondern Folge wiederholter realer Sturzereignisse. Bei der Untersuchung am 16.05.2026 war die Gehstrecke mit Unterarmgehstütze in der Praxis nach 18 Metern abgebrochen worden. Der Patient musste sich setzen. Pulsanstieg auf 118 pro Minute, deutliche Dyspnoe, unsicherer Stand bei Drehung.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