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Kostenvoranschlag und technische Versorgung</w:t>
      </w:r>
    </w:p>
    <w:p>
      <w:pPr>
        <w:spacing w:before="120" w:after="60" w:line="259" w:lineRule="auto"/>
        <w:jc w:val="left"/>
      </w:pPr>
      <w:r>
        <w:rPr>
          <w:rFonts w:ascii="Times New Roman" w:hAnsi="Times New Roman"/>
          <w:b/>
          <w:sz w:val="22"/>
        </w:rPr>
        <w:t>RehaTechnik Albrecht GmbH</w:t>
      </w:r>
    </w:p>
    <w:p>
      <w:pPr>
        <w:spacing w:before="120" w:after="60" w:line="259" w:lineRule="auto"/>
        <w:jc w:val="left"/>
      </w:pPr>
      <w:r>
        <w:rPr>
          <w:rFonts w:ascii="Times New Roman" w:hAnsi="Times New Roman"/>
          <w:b/>
          <w:sz w:val="22"/>
        </w:rPr>
        <w:t>Donnerschweer Straße 188, 26123 Oldenburg</w:t>
      </w:r>
    </w:p>
    <w:p>
      <w:pPr>
        <w:spacing w:before="120" w:after="60" w:line="259" w:lineRule="auto"/>
        <w:jc w:val="left"/>
      </w:pPr>
      <w:r>
        <w:rPr>
          <w:rFonts w:ascii="Times New Roman" w:hAnsi="Times New Roman"/>
          <w:b/>
          <w:sz w:val="22"/>
        </w:rPr>
        <w:t>Kostenvoranschlag vom 20.05.2026</w:t>
      </w:r>
    </w:p>
    <w:p>
      <w:pPr>
        <w:pStyle w:val="Heading2"/>
        <w:spacing w:before="120" w:after="60" w:line="259" w:lineRule="auto"/>
      </w:pPr>
      <w:r>
        <w:rPr>
          <w:rFonts w:ascii="Times New Roman" w:hAnsi="Times New Roman"/>
          <w:b/>
          <w:sz w:val="22"/>
        </w:rPr>
        <w:t>Versicherter</w:t>
      </w:r>
    </w:p>
    <w:p>
      <w:pPr>
        <w:spacing w:before="120" w:after="60" w:line="259" w:lineRule="auto"/>
        <w:jc w:val="left"/>
      </w:pPr>
      <w:r>
        <w:rPr>
          <w:rFonts w:ascii="Times New Roman" w:hAnsi="Times New Roman"/>
          <w:b/>
          <w:sz w:val="22"/>
        </w:rPr>
        <w:t>Heinz Körner, geboren 14.03.1948</w:t>
      </w:r>
    </w:p>
    <w:p>
      <w:pPr>
        <w:spacing w:before="120" w:after="60" w:line="259" w:lineRule="auto"/>
        <w:jc w:val="left"/>
      </w:pPr>
      <w:r>
        <w:rPr>
          <w:rFonts w:ascii="Times New Roman" w:hAnsi="Times New Roman"/>
          <w:b/>
          <w:sz w:val="22"/>
        </w:rPr>
        <w:t>Versichertennummer: WEK-418-77-920</w:t>
      </w:r>
    </w:p>
    <w:p>
      <w:pPr>
        <w:pStyle w:val="Heading2"/>
        <w:spacing w:before="120" w:after="60" w:line="259" w:lineRule="auto"/>
      </w:pPr>
      <w:r>
        <w:rPr>
          <w:rFonts w:ascii="Times New Roman" w:hAnsi="Times New Roman"/>
          <w:b/>
          <w:sz w:val="22"/>
        </w:rPr>
        <w:t>Vorgeschlagene Versorgung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Elektrorollstuhl Permobil M1 Compact</w:t>
            </w:r>
          </w:p>
        </w:tc>
        <w:tc>
          <w:tcPr>
            <w:tcW w:type="dxa" w:w="3024"/>
          </w:tcPr>
          <w:p>
            <w:r>
              <w:rPr>
                <w:rFonts w:ascii="Times New Roman" w:hAnsi="Times New Roman"/>
                <w:sz w:val="20"/>
              </w:rPr>
              <w:t>Innen- und Nahbereichsversorgung, reduzierte Geschwindigkeit, kompakter Wendekreis</w:t>
            </w:r>
          </w:p>
        </w:tc>
        <w:tc>
          <w:tcPr>
            <w:tcW w:type="dxa" w:w="3024"/>
          </w:tcPr>
          <w:p>
            <w:r>
              <w:rPr>
                <w:rFonts w:ascii="Times New Roman" w:hAnsi="Times New Roman"/>
                <w:sz w:val="20"/>
              </w:rPr>
              <w:t>7.980,00 EUR</w:t>
            </w:r>
          </w:p>
        </w:tc>
      </w:tr>
      <w:tr>
        <w:tc>
          <w:tcPr>
            <w:tcW w:type="dxa" w:w="3024"/>
          </w:tcPr>
          <w:p>
            <w:r>
              <w:rPr>
                <w:rFonts w:ascii="Times New Roman" w:hAnsi="Times New Roman"/>
                <w:sz w:val="20"/>
              </w:rPr>
              <w:t>Sitzanpassung</w:t>
            </w:r>
          </w:p>
        </w:tc>
        <w:tc>
          <w:tcPr>
            <w:tcW w:type="dxa" w:w="3024"/>
          </w:tcPr>
          <w:p>
            <w:r>
              <w:rPr>
                <w:rFonts w:ascii="Times New Roman" w:hAnsi="Times New Roman"/>
                <w:sz w:val="20"/>
              </w:rPr>
              <w:t>druckentlastendes Sitzkissen, Beckengurt, seitliche Führung</w:t>
            </w:r>
          </w:p>
        </w:tc>
        <w:tc>
          <w:tcPr>
            <w:tcW w:type="dxa" w:w="3024"/>
          </w:tcPr>
          <w:p>
            <w:r>
              <w:rPr>
                <w:rFonts w:ascii="Times New Roman" w:hAnsi="Times New Roman"/>
                <w:sz w:val="20"/>
              </w:rPr>
              <w:t>1.240,00 EUR</w:t>
            </w:r>
          </w:p>
        </w:tc>
      </w:tr>
      <w:tr>
        <w:tc>
          <w:tcPr>
            <w:tcW w:type="dxa" w:w="3024"/>
          </w:tcPr>
          <w:p>
            <w:r>
              <w:rPr>
                <w:rFonts w:ascii="Times New Roman" w:hAnsi="Times New Roman"/>
                <w:sz w:val="20"/>
              </w:rPr>
              <w:t>Bedienmodul rechts</w:t>
            </w:r>
          </w:p>
        </w:tc>
        <w:tc>
          <w:tcPr>
            <w:tcW w:type="dxa" w:w="3024"/>
          </w:tcPr>
          <w:p>
            <w:r>
              <w:rPr>
                <w:rFonts w:ascii="Times New Roman" w:hAnsi="Times New Roman"/>
                <w:sz w:val="20"/>
              </w:rPr>
              <w:t>fein justierbarer Joystick, Handauflage</w:t>
            </w:r>
          </w:p>
        </w:tc>
        <w:tc>
          <w:tcPr>
            <w:tcW w:type="dxa" w:w="3024"/>
          </w:tcPr>
          <w:p>
            <w:r>
              <w:rPr>
                <w:rFonts w:ascii="Times New Roman" w:hAnsi="Times New Roman"/>
                <w:sz w:val="20"/>
              </w:rPr>
              <w:t>420,00 EUR</w:t>
            </w:r>
          </w:p>
        </w:tc>
      </w:tr>
      <w:tr>
        <w:tc>
          <w:tcPr>
            <w:tcW w:type="dxa" w:w="3024"/>
          </w:tcPr>
          <w:p>
            <w:r>
              <w:rPr>
                <w:rFonts w:ascii="Times New Roman" w:hAnsi="Times New Roman"/>
                <w:sz w:val="20"/>
              </w:rPr>
              <w:t>Beleuchtung und Reflektoren</w:t>
            </w:r>
          </w:p>
        </w:tc>
        <w:tc>
          <w:tcPr>
            <w:tcW w:type="dxa" w:w="3024"/>
          </w:tcPr>
          <w:p>
            <w:r>
              <w:rPr>
                <w:rFonts w:ascii="Times New Roman" w:hAnsi="Times New Roman"/>
                <w:sz w:val="20"/>
              </w:rPr>
              <w:t>Nahbereich und Straßenquerung</w:t>
            </w:r>
          </w:p>
        </w:tc>
        <w:tc>
          <w:tcPr>
            <w:tcW w:type="dxa" w:w="3024"/>
          </w:tcPr>
          <w:p>
            <w:r>
              <w:rPr>
                <w:rFonts w:ascii="Times New Roman" w:hAnsi="Times New Roman"/>
                <w:sz w:val="20"/>
              </w:rPr>
              <w:t>310,00 EUR</w:t>
            </w:r>
          </w:p>
        </w:tc>
      </w:tr>
      <w:tr>
        <w:tc>
          <w:tcPr>
            <w:tcW w:type="dxa" w:w="3024"/>
          </w:tcPr>
          <w:p>
            <w:r>
              <w:rPr>
                <w:rFonts w:ascii="Times New Roman" w:hAnsi="Times New Roman"/>
                <w:sz w:val="20"/>
              </w:rPr>
              <w:t>Bordsteinassistent klein</w:t>
            </w:r>
          </w:p>
        </w:tc>
        <w:tc>
          <w:tcPr>
            <w:tcW w:type="dxa" w:w="3024"/>
          </w:tcPr>
          <w:p>
            <w:r>
              <w:rPr>
                <w:rFonts w:ascii="Times New Roman" w:hAnsi="Times New Roman"/>
                <w:sz w:val="20"/>
              </w:rPr>
              <w:t>Kippstabilität bei niedrigen Kanten</w:t>
            </w:r>
          </w:p>
        </w:tc>
        <w:tc>
          <w:tcPr>
            <w:tcW w:type="dxa" w:w="3024"/>
          </w:tcPr>
          <w:p>
            <w:r>
              <w:rPr>
                <w:rFonts w:ascii="Times New Roman" w:hAnsi="Times New Roman"/>
                <w:sz w:val="20"/>
              </w:rPr>
              <w:t>390,00 EUR</w:t>
            </w:r>
          </w:p>
        </w:tc>
      </w:tr>
      <w:tr>
        <w:tc>
          <w:tcPr>
            <w:tcW w:type="dxa" w:w="3024"/>
          </w:tcPr>
          <w:p>
            <w:r>
              <w:rPr>
                <w:rFonts w:ascii="Times New Roman" w:hAnsi="Times New Roman"/>
                <w:sz w:val="20"/>
              </w:rPr>
              <w:t>Einweisung und Fahrtraining</w:t>
            </w:r>
          </w:p>
        </w:tc>
        <w:tc>
          <w:tcPr>
            <w:tcW w:type="dxa" w:w="3024"/>
          </w:tcPr>
          <w:p>
            <w:r>
              <w:rPr>
                <w:rFonts w:ascii="Times New Roman" w:hAnsi="Times New Roman"/>
                <w:sz w:val="20"/>
              </w:rPr>
              <w:t>zwei Termine vor Ort, Tochter anwesend</w:t>
            </w:r>
          </w:p>
        </w:tc>
        <w:tc>
          <w:tcPr>
            <w:tcW w:type="dxa" w:w="3024"/>
          </w:tcPr>
          <w:p>
            <w:r>
              <w:rPr>
                <w:rFonts w:ascii="Times New Roman" w:hAnsi="Times New Roman"/>
                <w:sz w:val="20"/>
              </w:rPr>
              <w:t>360,00 EUR</w:t>
            </w:r>
          </w:p>
        </w:tc>
      </w:tr>
      <w:tr>
        <w:tc>
          <w:tcPr>
            <w:tcW w:type="dxa" w:w="3024"/>
          </w:tcPr>
          <w:p>
            <w:r>
              <w:rPr>
                <w:rFonts w:ascii="Times New Roman" w:hAnsi="Times New Roman"/>
                <w:sz w:val="20"/>
              </w:rPr>
              <w:t>Wartungspauschale erstes Jahr</w:t>
            </w:r>
          </w:p>
        </w:tc>
        <w:tc>
          <w:tcPr>
            <w:tcW w:type="dxa" w:w="3024"/>
          </w:tcPr>
          <w:p>
            <w:r>
              <w:rPr>
                <w:rFonts w:ascii="Times New Roman" w:hAnsi="Times New Roman"/>
                <w:sz w:val="20"/>
              </w:rPr>
              <w:t>sicherheitsrelevante Kontrolle</w:t>
            </w:r>
          </w:p>
        </w:tc>
        <w:tc>
          <w:tcPr>
            <w:tcW w:type="dxa" w:w="3024"/>
          </w:tcPr>
          <w:p>
            <w:r>
              <w:rPr>
                <w:rFonts w:ascii="Times New Roman" w:hAnsi="Times New Roman"/>
                <w:sz w:val="20"/>
              </w:rPr>
              <w:t>290,00 EUR</w:t>
            </w:r>
          </w:p>
        </w:tc>
      </w:tr>
      <w:tr>
        <w:tc>
          <w:tcPr>
            <w:tcW w:type="dxa" w:w="3024"/>
          </w:tcPr>
          <w:p>
            <w:r>
              <w:rPr>
                <w:rFonts w:ascii="Times New Roman" w:hAnsi="Times New Roman"/>
                <w:sz w:val="20"/>
              </w:rPr>
              <w:t>Gesamt brutto</w:t>
            </w:r>
          </w:p>
        </w:tc>
        <w:tc>
          <w:tcPr>
            <w:tcW w:type="dxa" w:w="3024"/>
          </w:tcPr>
          <w:p>
            <w:r>
              <w:rPr>
                <w:rFonts w:ascii="Times New Roman" w:hAnsi="Times New Roman"/>
                <w:sz w:val="20"/>
              </w:rPr>
              <w:t>einschließlich Lieferung</w:t>
            </w:r>
          </w:p>
        </w:tc>
        <w:tc>
          <w:tcPr>
            <w:tcW w:type="dxa" w:w="3024"/>
          </w:tcPr>
          <w:p>
            <w:r>
              <w:rPr>
                <w:rFonts w:ascii="Times New Roman" w:hAnsi="Times New Roman"/>
                <w:sz w:val="20"/>
              </w:rPr>
              <w:t>10.990,00 EUR</w:t>
            </w:r>
          </w:p>
        </w:tc>
      </w:tr>
    </w:tbl>
    <w:p>
      <w:pPr>
        <w:pStyle w:val="Heading2"/>
        <w:spacing w:line="259" w:lineRule="auto" w:after="60"/>
      </w:pPr>
      <w:r>
        <w:rPr>
          <w:rFonts w:ascii="Times New Roman" w:hAnsi="Times New Roman"/>
        </w:rPr>
        <w:t>Technische Begründung</w:t>
      </w:r>
    </w:p>
    <w:p>
      <w:pPr>
        <w:spacing w:line="259" w:lineRule="auto" w:after="60"/>
        <w:jc w:val="left"/>
      </w:pPr>
      <w:r>
        <w:t>Ein Standard-Faltrollstuhl ist im Fall Körner nicht geeignet, weil der Versicherte ihn nicht selbst antreiben kann. Ein Elektrorollstuhl mit großer Außenbereichsausführung ist technisch nicht erforderlich und im Gebäude schwer handhabbar. Das vorgeschlagene Modell ist bewusst kompakt gewählt.</w:t>
      </w:r>
    </w:p>
    <w:p>
      <w:pPr>
        <w:spacing w:line="259" w:lineRule="auto" w:after="60"/>
        <w:jc w:val="left"/>
      </w:pPr>
      <w:r>
        <w:t>Die Versorgung ist darauf ausgelegt, im Erdgeschoss abgestellt und geladen zu werden. Für die zwei Eingangsstufen ist eine mobile Kurzrampe gesondert möglich. Das Hilfsmittel ersetzt keinen Treppenlift und keine Wohnraumanpassung.</w:t>
      </w:r>
    </w:p>
    <w:p>
      <w:pPr>
        <w:pStyle w:val="Heading2"/>
        <w:spacing w:line="259" w:lineRule="auto" w:after="60"/>
      </w:pPr>
      <w:r>
        <w:rPr>
          <w:rFonts w:ascii="Times New Roman" w:hAnsi="Times New Roman"/>
        </w:rPr>
        <w:t>Fahrprobe</w:t>
      </w:r>
    </w:p>
    <w:p>
      <w:pPr>
        <w:spacing w:line="259" w:lineRule="auto" w:after="60"/>
        <w:jc w:val="left"/>
      </w:pPr>
      <w:r>
        <w:t>Am 18.05.2026 wurde im Innenhof eine langsame Fahrprobe durchgeführt. Herr Körner konnte nach 25 Minuten Einweisung:</w:t>
      </w:r>
    </w:p>
    <w:p>
      <w:pPr>
        <w:pStyle w:val="ListNumber"/>
        <w:spacing w:line="259" w:lineRule="auto" w:after="60"/>
      </w:pPr>
      <w:r>
        <w:t>geradeaus fahren,</w:t>
      </w:r>
    </w:p>
    <w:p>
      <w:pPr>
        <w:pStyle w:val="ListNumber"/>
        <w:spacing w:line="259" w:lineRule="auto" w:after="60"/>
      </w:pPr>
      <w:r>
        <w:t>in Schrittgeschwindigkeit wenden,</w:t>
      </w:r>
    </w:p>
    <w:p>
      <w:pPr>
        <w:pStyle w:val="ListNumber"/>
        <w:spacing w:line="259" w:lineRule="auto" w:after="60"/>
      </w:pPr>
      <w:r>
        <w:t>anhalten,</w:t>
      </w:r>
    </w:p>
    <w:p>
      <w:pPr>
        <w:pStyle w:val="ListNumber"/>
        <w:spacing w:line="259" w:lineRule="auto" w:after="60"/>
      </w:pPr>
      <w:r>
        <w:t>eine Türschwelle mit Begleitung überwinden,</w:t>
      </w:r>
    </w:p>
    <w:p>
      <w:pPr>
        <w:pStyle w:val="ListNumber"/>
        <w:spacing w:line="259" w:lineRule="auto" w:after="60"/>
      </w:pPr>
      <w:r>
        <w:t>den Joystick rechts sicher bedienen.</w:t>
      </w:r>
    </w:p>
    <w:p>
      <w:pPr>
        <w:spacing w:line="259" w:lineRule="auto" w:after="60"/>
        <w:jc w:val="left"/>
      </w:pPr>
      <w:r>
        <w:t>Kritisch bleibt das Rückwärtsfahren. Es wird empfohlen, den Rollstuhl zunächst auf niedrige Höchstgeschwindigkeit zu begrenzen und nach drei Wochen eine Nachschulung durchzuführen.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