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Entwurf Klageschrift</w:t>
      </w:r>
    </w:p>
    <w:p>
      <w:pPr>
        <w:spacing w:before="120" w:after="60" w:line="259" w:lineRule="auto"/>
        <w:jc w:val="left"/>
      </w:pPr>
      <w:r>
        <w:rPr>
          <w:rFonts w:ascii="Times New Roman" w:hAnsi="Times New Roman"/>
          <w:b w:val="0"/>
          <w:i w:val="0"/>
          <w:sz w:val="22"/>
        </w:rPr>
        <w:t>Kanzlei Ahlers und Brinkmann, Fachanwälte für Sozialrecht</w:t>
      </w:r>
    </w:p>
    <w:p>
      <w:pPr>
        <w:spacing w:before="120" w:after="60" w:line="259" w:lineRule="auto"/>
        <w:jc w:val="left"/>
      </w:pPr>
      <w:r>
        <w:rPr>
          <w:rFonts w:ascii="Times New Roman" w:hAnsi="Times New Roman"/>
          <w:b/>
          <w:sz w:val="22"/>
        </w:rPr>
        <w:t>Gottorpstraße 29, 26122 Oldenburg</w:t>
      </w:r>
    </w:p>
    <w:p>
      <w:pPr>
        <w:spacing w:before="120" w:after="60" w:line="259" w:lineRule="auto"/>
        <w:jc w:val="left"/>
      </w:pPr>
      <w:r>
        <w:rPr>
          <w:rFonts w:ascii="Times New Roman" w:hAnsi="Times New Roman"/>
          <w:b/>
          <w:sz w:val="22"/>
        </w:rPr>
        <w:t>Telefon 0441 92 37 60-0</w:t>
      </w:r>
    </w:p>
    <w:p>
      <w:pPr>
        <w:spacing w:before="120" w:after="60" w:line="259" w:lineRule="auto"/>
        <w:jc w:val="left"/>
      </w:pPr>
      <w:r>
        <w:rPr>
          <w:rFonts w:ascii="Times New Roman" w:hAnsi="Times New Roman"/>
          <w:b/>
          <w:sz w:val="22"/>
        </w:rPr>
        <w:t>Rechtsanwalt Joost Ahlers</w:t>
      </w:r>
    </w:p>
    <w:p>
      <w:pPr>
        <w:spacing w:before="120" w:after="60" w:line="259" w:lineRule="auto"/>
        <w:jc w:val="left"/>
      </w:pPr>
      <w:r>
        <w:rPr>
          <w:rFonts w:ascii="Times New Roman" w:hAnsi="Times New Roman"/>
          <w:b/>
          <w:sz w:val="22"/>
        </w:rPr>
        <w:t>Unser Zeichen: 26-06-KR-1187</w:t>
      </w:r>
    </w:p>
    <w:p>
      <w:pPr>
        <w:spacing w:line="259" w:lineRule="auto" w:after="60"/>
        <w:jc w:val="left"/>
      </w:pPr>
      <w:r>
        <w:t>Nicht eingereicht. Stand 29.06.2026. Versand per beA nach Mandantenfreigabe.</w:t>
      </w:r>
    </w:p>
    <w:p>
      <w:pPr>
        <w:spacing w:before="120" w:after="60" w:line="259" w:lineRule="auto"/>
        <w:jc w:val="left"/>
      </w:pPr>
      <w:r>
        <w:rPr>
          <w:rFonts w:ascii="Times New Roman" w:hAnsi="Times New Roman"/>
          <w:b/>
          <w:sz w:val="22"/>
        </w:rPr>
        <w:t>An das Sozialgericht Oldenburg</w:t>
      </w:r>
    </w:p>
    <w:p>
      <w:pPr>
        <w:spacing w:line="259" w:lineRule="auto" w:after="60"/>
        <w:jc w:val="left"/>
      </w:pPr>
      <w:r>
        <w:t>Schloßplatz 10</w:t>
      </w:r>
    </w:p>
    <w:p>
      <w:pPr>
        <w:spacing w:line="259" w:lineRule="auto" w:after="60"/>
        <w:jc w:val="left"/>
      </w:pPr>
      <w:r>
        <w:t>26122 Oldenburg</w:t>
      </w:r>
    </w:p>
    <w:p>
      <w:pPr>
        <w:pStyle w:val="Heading2"/>
        <w:spacing w:line="259" w:lineRule="auto" w:after="60"/>
      </w:pPr>
      <w:r>
        <w:rPr>
          <w:rFonts w:ascii="Times New Roman" w:hAnsi="Times New Roman"/>
        </w:rPr>
        <w:t>Klage</w:t>
      </w:r>
    </w:p>
    <w:p>
      <w:pPr>
        <w:spacing w:line="259" w:lineRule="auto" w:after="60"/>
        <w:jc w:val="left"/>
      </w:pPr>
      <w:r>
        <w:t>des Herrn Heinz Körner, Theaterwall 62, 26122 Oldenburg,</w:t>
      </w:r>
    </w:p>
    <w:p>
      <w:pPr>
        <w:spacing w:line="259" w:lineRule="auto" w:after="60"/>
        <w:jc w:val="left"/>
      </w:pPr>
      <w:r>
        <w:t>Kläger,</w:t>
      </w:r>
    </w:p>
    <w:p>
      <w:pPr>
        <w:spacing w:line="259" w:lineRule="auto" w:after="60"/>
        <w:jc w:val="left"/>
      </w:pPr>
      <w:r>
        <w:t>gegen</w:t>
      </w:r>
    </w:p>
    <w:p>
      <w:pPr>
        <w:spacing w:line="259" w:lineRule="auto" w:after="60"/>
        <w:jc w:val="left"/>
      </w:pPr>
      <w:r>
        <w:t>die Weser-Ems Gesundheitskasse, Stau 35, 26122 Oldenburg,</w:t>
      </w:r>
    </w:p>
    <w:p>
      <w:pPr>
        <w:spacing w:line="259" w:lineRule="auto" w:after="60"/>
        <w:jc w:val="left"/>
      </w:pPr>
      <w:r>
        <w:t>Beklagte.</w:t>
      </w:r>
    </w:p>
    <w:p>
      <w:pPr>
        <w:pStyle w:val="Heading2"/>
        <w:spacing w:line="259" w:lineRule="auto" w:after="60"/>
      </w:pPr>
      <w:r>
        <w:rPr>
          <w:rFonts w:ascii="Times New Roman" w:hAnsi="Times New Roman"/>
        </w:rPr>
        <w:t>Anträge</w:t>
      </w:r>
    </w:p>
    <w:p>
      <w:pPr>
        <w:pStyle w:val="ListNumber"/>
        <w:spacing w:line="259" w:lineRule="auto" w:after="60"/>
      </w:pPr>
      <w:r>
        <w:t>Der Bescheid der Beklagten vom 10.06.2026 in Gestalt des Widerspruchsbescheids vom 24.06.2026 wird aufgehoben.</w:t>
      </w:r>
    </w:p>
    <w:p>
      <w:pPr>
        <w:pStyle w:val="ListNumber"/>
        <w:spacing w:line="259" w:lineRule="auto" w:after="60"/>
      </w:pPr>
      <w:r>
        <w:t>Die Beklagte wird verurteilt, den Kläger mit einem geeigneten kompakten Elektrorollstuhl für Innenräume, Hausausgang und Nahbereich zu versorgen, hilfsweise über den Antrag unter Beachtung der Rechtsauffassung des Gerichts neu zu entscheiden.</w:t>
      </w:r>
    </w:p>
    <w:p>
      <w:pPr>
        <w:pStyle w:val="ListNumber"/>
        <w:spacing w:line="259" w:lineRule="auto" w:after="60"/>
      </w:pPr>
      <w:r>
        <w:t>Die Beklagte trägt die notwendigen außergerichtlichen Kosten des Klägers.</w:t>
      </w:r>
    </w:p>
    <w:p>
      <w:pPr>
        <w:pStyle w:val="Heading2"/>
        <w:spacing w:line="259" w:lineRule="auto" w:after="60"/>
      </w:pPr>
      <w:r>
        <w:rPr>
          <w:rFonts w:ascii="Times New Roman" w:hAnsi="Times New Roman"/>
        </w:rPr>
        <w:t>Sachverhalt</w:t>
      </w:r>
    </w:p>
    <w:p>
      <w:pPr>
        <w:spacing w:line="259" w:lineRule="auto" w:after="60"/>
        <w:jc w:val="left"/>
      </w:pPr>
      <w:r>
        <w:t>Der 78-jährige Kläger ist gesetzlich krankenversichert. Er leidet unter lumbaler Spinalkanalstenose, diabetischer Polyneuropathie, Zustand nach Hüft-TEP links, Herzinsuffizienz und wiederholten Stürzen. Er lebt allein in einem Altbau in Oldenburg. Sein täglicher Nahbereich umfasst Briefkasten, Hausarzt, Apotheke, Bäcker, Supermarkt und den Besuch des Grabes seiner Ehefrau.</w:t>
      </w:r>
    </w:p>
    <w:p>
      <w:pPr>
        <w:spacing w:line="259" w:lineRule="auto" w:after="60"/>
        <w:jc w:val="left"/>
      </w:pPr>
      <w:r>
        <w:t>Mit Verordnung vom 16.05.2026 beantragte der Kläger die Versorgung mit einem kompakten Elektrorollstuhl. Der Kostenvoranschlag der RehaTechnik Albrecht GmbH vom 20.05.2026 beträgt 10.990,00 EUR. Die Beklagte lehnte den Antrag mit Bescheid vom 10.06.2026 ab und stützte sich auf eine reine Aktenstellungnahme des Medizinischen Dienstes vom 05.06.2026. Den Widerspruch des Klägers vom 20.06.2026 wies die Beklagte mit Widerspruchsbescheid vom 24.06.2026 zurück.</w:t>
      </w:r>
    </w:p>
    <w:p>
      <w:pPr>
        <w:pStyle w:val="Heading2"/>
        <w:spacing w:line="259" w:lineRule="auto" w:after="60"/>
      </w:pPr>
      <w:r>
        <w:rPr>
          <w:rFonts w:ascii="Times New Roman" w:hAnsi="Times New Roman"/>
        </w:rPr>
        <w:t>Rechtliche Würdigung</w:t>
      </w:r>
    </w:p>
    <w:p>
      <w:pPr>
        <w:spacing w:line="259" w:lineRule="auto" w:after="60"/>
        <w:jc w:val="left"/>
      </w:pPr>
      <w:r>
        <w:t>Der Kläger hat Anspruch auf Hilfsmittelversorgung nach Paragraf 33 SGB V. Das beantragte Hilfsmittel dient dem Behinderungsausgleich. Entscheidend ist nicht, ob der Kläger noch einzelne Schritte in der Wohnung leisten kann. Entscheidend ist, ob die angebotene Versorgung den konkreten Mobilitätsbedarf im Basisausgleich praktisch deckt.</w:t>
      </w:r>
    </w:p>
    <w:p>
      <w:pPr>
        <w:spacing w:line="259" w:lineRule="auto" w:after="60"/>
        <w:jc w:val="left"/>
      </w:pPr>
      <w:r>
        <w:t>Gehstock, Unterarmgehstütze und Rollator sind nach den vorliegenden Befunden nicht ausreichend. Sie setzen eine sichere Restgehfähigkeit voraus, die beim Kläger gerade fehlt. Ein Standard-Faltrollstuhl ist ebenfalls ungeeignet, weil der Kläger ihn wegen Schulterbeschwerden, Herzinsuffizienz und geringer Ausdauer nicht selbständig antreiben kann. Eine Versorgung, die nur mit schiebender Begleitperson funktioniert, stellt keine selbständige Mobilität her.</w:t>
      </w:r>
    </w:p>
    <w:p>
      <w:pPr>
        <w:spacing w:line="259" w:lineRule="auto" w:after="60"/>
        <w:jc w:val="left"/>
      </w:pPr>
      <w:r>
        <w:t>Das Wirtschaftlichkeitsgebot nach Paragraf 12 SGB V rechtfertigt die Ablehnung nicht. Wirtschaftlich ist nicht das billigste Hilfsmittel, sondern das ausreichende und zweckmäßige Hilfsmittel. Ein günstiger Rollstuhl, der den Versorgungszweck verfehlt, ist nicht wirtschaftlich.</w:t>
      </w:r>
    </w:p>
    <w:p>
      <w:pPr>
        <w:spacing w:line="259" w:lineRule="auto" w:after="60"/>
        <w:jc w:val="left"/>
      </w:pPr>
      <w:r>
        <w:t>Die Beklagte hat die konkrete Bedarfslage unzureichend ermittelt. Der Medizinische Dienst hat den Kläger nicht persönlich untersucht, keine Gehprobe durchgeführt, das Wohnumfeld nicht gesehen und den Test des manuellen Rollstuhls nicht nachvollzogen. Dem stehen der fachärztliche Bericht, die hausärztliche Verordnung und das private Reha-Gutachten mit persönlicher Untersuchung gegenüber.</w:t>
      </w:r>
    </w:p>
    <w:p>
      <w:pPr>
        <w:pStyle w:val="Heading2"/>
        <w:spacing w:line="259" w:lineRule="auto" w:after="60"/>
      </w:pPr>
      <w:r>
        <w:rPr>
          <w:rFonts w:ascii="Times New Roman" w:hAnsi="Times New Roman"/>
        </w:rPr>
        <w:t>Beweisangebote</w:t>
      </w:r>
    </w:p>
    <w:p>
      <w:pPr>
        <w:pStyle w:val="ListNumber"/>
        <w:spacing w:line="259" w:lineRule="auto" w:after="60"/>
      </w:pPr>
      <w:r>
        <w:t>Bericht Dr. Radtke vom 17.05.2026.</w:t>
      </w:r>
    </w:p>
    <w:p>
      <w:pPr>
        <w:pStyle w:val="ListNumber"/>
        <w:spacing w:line="259" w:lineRule="auto" w:after="60"/>
      </w:pPr>
      <w:r>
        <w:t>Verordnung Dr. Stahlmann vom 16.05.2026.</w:t>
      </w:r>
    </w:p>
    <w:p>
      <w:pPr>
        <w:pStyle w:val="ListNumber"/>
        <w:spacing w:line="259" w:lineRule="auto" w:after="60"/>
      </w:pPr>
      <w:r>
        <w:t>Gutachten Reha-Kompetenz Nordwest vom 18.06.2026.</w:t>
      </w:r>
    </w:p>
    <w:p>
      <w:pPr>
        <w:pStyle w:val="ListNumber"/>
        <w:spacing w:line="259" w:lineRule="auto" w:after="60"/>
      </w:pPr>
      <w:r>
        <w:t>Zeugin Dr. Maren Körner zu Stürzen, Alltagswegen und fehlender Begleitmöglichkeit.</w:t>
      </w:r>
    </w:p>
    <w:p>
      <w:pPr>
        <w:pStyle w:val="ListNumber"/>
        <w:spacing w:line="259" w:lineRule="auto" w:after="60"/>
      </w:pPr>
      <w:r>
        <w:t>Sachverständigengutachten aus Neurologie, Orthopädie und Reha-Technik.</w:t>
      </w:r>
    </w:p>
    <w:p>
      <w:pPr>
        <w:pStyle w:val="ListNumber"/>
        <w:spacing w:line="259" w:lineRule="auto" w:after="60"/>
      </w:pPr>
      <w:r>
        <w:t>Augenschein der Wohn- und Hausausgangssituation, hilfsweise Fotodokumentation und Wohnumfeldbericht.</w:t>
      </w:r>
    </w:p>
    <w:p>
      <w:pPr>
        <w:pStyle w:val="Heading2"/>
        <w:spacing w:line="259" w:lineRule="auto" w:after="60"/>
      </w:pPr>
      <w:r>
        <w:rPr>
          <w:rFonts w:ascii="Times New Roman" w:hAnsi="Times New Roman"/>
        </w:rPr>
        <w:t>Eilrechtsschutz</w:t>
      </w:r>
    </w:p>
    <w:p>
      <w:pPr>
        <w:spacing w:line="259" w:lineRule="auto" w:after="60"/>
        <w:jc w:val="left"/>
      </w:pPr>
      <w:r>
        <w:t>Gesondert ist ein Antrag nach Paragraf 86b SGG zu prüfen. Der Kläger ist ohne geeignete Versorgung aktuell faktisch an die Wohnung gebunden. Es bestehen Sturzgefahr, fehlende sichere Arzt- und Apothekenwege und eine zunehmende Vereinsamung. Die Hauptsache kann nicht ohne erhebliche Nachteile abgewartet werden.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