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Gerichtlicher Hinweis und Beweisfragen</w:t>
      </w:r>
    </w:p>
    <w:p>
      <w:pPr>
        <w:spacing w:before="120" w:after="60" w:line="259" w:lineRule="auto"/>
        <w:jc w:val="left"/>
      </w:pPr>
      <w:r>
        <w:rPr>
          <w:rFonts w:ascii="Times New Roman" w:hAnsi="Times New Roman"/>
          <w:b/>
          <w:sz w:val="22"/>
        </w:rPr>
        <w:t>Sozialgericht Oldenburg</w:t>
      </w:r>
    </w:p>
    <w:p>
      <w:pPr>
        <w:spacing w:before="120" w:after="60" w:line="259" w:lineRule="auto"/>
        <w:jc w:val="left"/>
      </w:pPr>
      <w:r>
        <w:rPr>
          <w:rFonts w:ascii="Times New Roman" w:hAnsi="Times New Roman"/>
          <w:b/>
          <w:sz w:val="22"/>
        </w:rPr>
        <w:t>Kammer für Krankenversicherungssachen</w:t>
      </w:r>
    </w:p>
    <w:p>
      <w:pPr>
        <w:spacing w:before="120" w:after="60" w:line="259" w:lineRule="auto"/>
        <w:jc w:val="left"/>
      </w:pPr>
      <w:r>
        <w:rPr>
          <w:rFonts w:ascii="Times New Roman" w:hAnsi="Times New Roman"/>
          <w:b/>
          <w:sz w:val="22"/>
        </w:rPr>
        <w:t>Entwurf richterlicher Hinweis vom 22.07.2026</w:t>
      </w:r>
    </w:p>
    <w:p>
      <w:pPr>
        <w:pStyle w:val="Heading2"/>
        <w:spacing w:before="120" w:after="60" w:line="259" w:lineRule="auto"/>
      </w:pPr>
      <w:r>
        <w:rPr>
          <w:rFonts w:ascii="Times New Roman" w:hAnsi="Times New Roman"/>
          <w:b/>
          <w:sz w:val="22"/>
        </w:rPr>
        <w:t>Vorläufige Einschätzung</w:t>
      </w:r>
    </w:p>
    <w:p>
      <w:pPr>
        <w:spacing w:line="259" w:lineRule="auto" w:after="60"/>
        <w:jc w:val="left"/>
      </w:pPr>
      <w:r>
        <w:t>Die Kammer weist darauf hin, dass die Sache nicht allein nach der Frage entschieden werden kann, ob der Kläger noch einzelne Schritte zurücklegen kann. Für Paragraf 33 SGB V ist maßgeblich, welches Hilfsmittel im konkreten Einzelfall den Behinderungsausgleich tatsächlich leistet.</w:t>
      </w:r>
    </w:p>
    <w:p>
      <w:pPr>
        <w:spacing w:before="120" w:after="60" w:line="259" w:lineRule="auto"/>
        <w:jc w:val="left"/>
      </w:pPr>
      <w:r>
        <w:rPr>
          <w:rFonts w:ascii="Times New Roman" w:hAnsi="Times New Roman"/>
          <w:b/>
          <w:sz w:val="22"/>
        </w:rPr>
        <w:t>Der bisherige Aktenstand enthält Widersprüche:</w:t>
      </w:r>
    </w:p>
    <w:p>
      <w:pPr>
        <w:pStyle w:val="ListNumber"/>
        <w:spacing w:line="259" w:lineRule="auto" w:after="60"/>
      </w:pPr>
      <w:r>
        <w:t>Der Medizinische Dienst sieht Gehstütze, Rollator und Standard-Faltrollstuhl als ausreichend an.</w:t>
      </w:r>
    </w:p>
    <w:p>
      <w:pPr>
        <w:pStyle w:val="ListNumber"/>
        <w:spacing w:line="259" w:lineRule="auto" w:after="60"/>
      </w:pPr>
      <w:r>
        <w:t>Facharzt und privates Reha-Gutachten halten genau diese Hilfsmittel praktisch für ungeeignet.</w:t>
      </w:r>
    </w:p>
    <w:p>
      <w:pPr>
        <w:pStyle w:val="ListNumber"/>
        <w:spacing w:line="259" w:lineRule="auto" w:after="60"/>
      </w:pPr>
      <w:r>
        <w:t>Die Krankenkasse stellt stark auf Kosten ab.</w:t>
      </w:r>
    </w:p>
    <w:p>
      <w:pPr>
        <w:pStyle w:val="ListNumber"/>
        <w:spacing w:line="259" w:lineRule="auto" w:after="60"/>
      </w:pPr>
      <w:r>
        <w:t>Die Klägerseite stellt stark auf Selbständigkeit, Sturzgefahr und Nahbereich ab.</w:t>
      </w:r>
    </w:p>
    <w:p>
      <w:pPr>
        <w:pStyle w:val="Heading2"/>
        <w:spacing w:line="259" w:lineRule="auto" w:after="60"/>
      </w:pPr>
      <w:r>
        <w:rPr>
          <w:rFonts w:ascii="Times New Roman" w:hAnsi="Times New Roman"/>
        </w:rPr>
        <w:t>Beweisfragen an einen Sachverständigen</w:t>
      </w:r>
    </w:p>
    <w:p>
      <w:pPr>
        <w:pStyle w:val="ListNumber"/>
        <w:spacing w:line="259" w:lineRule="auto" w:after="60"/>
      </w:pPr>
      <w:r>
        <w:t>Welche objektive Gehfähigkeit besteht bei Heinz Körner innerhalb der Wohnung, im Treppenhaus und im Nahbereich?</w:t>
      </w:r>
    </w:p>
    <w:p>
      <w:pPr>
        <w:pStyle w:val="ListNumber"/>
        <w:spacing w:line="259" w:lineRule="auto" w:after="60"/>
      </w:pPr>
      <w:r>
        <w:t>Kann der Kläger eine Unterarmgehstütze sicher nutzen?</w:t>
      </w:r>
    </w:p>
    <w:p>
      <w:pPr>
        <w:pStyle w:val="ListNumber"/>
        <w:spacing w:line="259" w:lineRule="auto" w:after="60"/>
      </w:pPr>
      <w:r>
        <w:t>Kann der Kläger einen Rollator im tatsächlichen Wohnumfeld sicher nutzen?</w:t>
      </w:r>
    </w:p>
    <w:p>
      <w:pPr>
        <w:pStyle w:val="ListNumber"/>
        <w:spacing w:line="259" w:lineRule="auto" w:after="60"/>
      </w:pPr>
      <w:r>
        <w:t>Kann der Kläger einen Standard-Faltrollstuhl eigenständig und dauerhaft genug antreiben?</w:t>
      </w:r>
    </w:p>
    <w:p>
      <w:pPr>
        <w:pStyle w:val="ListNumber"/>
        <w:spacing w:line="259" w:lineRule="auto" w:after="60"/>
      </w:pPr>
      <w:r>
        <w:t>Ist ein Elektrorollstuhl medizinisch-funktionell erforderlich, um den Basisausgleich der Mobilität im Nahbereich herzustellen?</w:t>
      </w:r>
    </w:p>
    <w:p>
      <w:pPr>
        <w:pStyle w:val="ListNumber"/>
        <w:spacing w:line="259" w:lineRule="auto" w:after="60"/>
      </w:pPr>
      <w:r>
        <w:t>Ist die Bedienung eines Elektrorollstuhls bei langsamer Einstellung und Fahrtraining hinreichend sicher?</w:t>
      </w:r>
    </w:p>
    <w:p>
      <w:pPr>
        <w:pStyle w:val="ListNumber"/>
        <w:spacing w:line="259" w:lineRule="auto" w:after="60"/>
      </w:pPr>
      <w:r>
        <w:t>Gibt es ein gleich geeignetes, wirtschaftlicheres Hilfsmittel?</w:t>
      </w:r>
    </w:p>
    <w:p>
      <w:pPr>
        <w:pStyle w:val="Heading2"/>
        <w:spacing w:line="259" w:lineRule="auto" w:after="60"/>
      </w:pPr>
      <w:r>
        <w:rPr>
          <w:rFonts w:ascii="Times New Roman" w:hAnsi="Times New Roman"/>
        </w:rPr>
        <w:t>Hinweise an die Beteiligten</w:t>
      </w:r>
    </w:p>
    <w:p>
      <w:pPr>
        <w:spacing w:line="259" w:lineRule="auto" w:after="60"/>
        <w:jc w:val="left"/>
      </w:pPr>
      <w:r>
        <w:t>Die Beklagte möge mitteilen, ob sie eine persönliche Begutachtung durch den Medizinischen Dienst veranlasst. Eine reine Aktenlage kann bei streitiger tatsächlicher Mobilität unzureichend sein.</w:t>
      </w:r>
    </w:p>
    <w:p>
      <w:pPr>
        <w:spacing w:line="259" w:lineRule="auto" w:after="60"/>
        <w:jc w:val="left"/>
      </w:pPr>
      <w:r>
        <w:t>Der Kläger möge eine aktuelle Fotodokumentation von Hauseingang, Abstellfläche, Gehweg und den typischen Nahbereichswegen vorlegen. Außerdem ist darzulegen, ob ein Eilantrag gestellt wird oder ob die Hauptsache vorrangig betrieben werden soll.</w:t>
      </w:r>
    </w:p>
    <w:p>
      <w:pPr>
        <w:pStyle w:val="Heading2"/>
        <w:spacing w:line="259" w:lineRule="auto" w:after="60"/>
      </w:pPr>
      <w:r>
        <w:rPr>
          <w:rFonts w:ascii="Times New Roman" w:hAnsi="Times New Roman"/>
        </w:rPr>
        <w:t>Vergleichsfenster</w:t>
      </w:r>
    </w:p>
    <w:p>
      <w:pPr>
        <w:spacing w:line="259" w:lineRule="auto" w:after="60"/>
        <w:jc w:val="left"/>
      </w:pPr>
      <w:r>
        <w:t>Ein Vergleich könnte lauten:</w:t>
      </w:r>
    </w:p>
    <w:p>
      <w:pPr>
        <w:spacing w:line="259" w:lineRule="auto" w:after="60"/>
        <w:jc w:val="left"/>
      </w:pPr>
      <w:r>
        <w:t>Die Beklagte bewilligt ohne Anerkennung einer Rechtspflicht eine geeignete elektrische Mobilitätsversorgung im Nahbereich nach erneuter technischer Erprobung. Der Kläger nimmt am Fahrtraining teil. Die endgültige Modellauswahl erfolgt durch Vertragssanitätshaus und behandelnden Facharzt. Die Kosten des Widerspruchsverfahrens werden zur Hälfte übernommen.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