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Urteilsentwurf mit zwei Varianten</w:t>
      </w:r>
    </w:p>
    <w:p>
      <w:pPr>
        <w:spacing w:before="120" w:after="60" w:line="259" w:lineRule="auto"/>
        <w:jc w:val="left"/>
      </w:pPr>
      <w:r>
        <w:rPr>
          <w:rFonts w:ascii="Times New Roman" w:hAnsi="Times New Roman"/>
          <w:b/>
          <w:sz w:val="22"/>
        </w:rPr>
        <w:t>Sozialgericht Oldenburg</w:t>
      </w:r>
    </w:p>
    <w:p>
      <w:pPr>
        <w:spacing w:before="120" w:after="60" w:line="259" w:lineRule="auto"/>
        <w:jc w:val="left"/>
      </w:pPr>
      <w:r>
        <w:rPr>
          <w:rFonts w:ascii="Times New Roman" w:hAnsi="Times New Roman"/>
          <w:b/>
          <w:sz w:val="22"/>
        </w:rPr>
        <w:t>Kammer für Krankenversicherungssachen</w:t>
      </w:r>
    </w:p>
    <w:p>
      <w:pPr>
        <w:spacing w:before="120" w:after="60" w:line="259" w:lineRule="auto"/>
        <w:jc w:val="left"/>
      </w:pPr>
      <w:r>
        <w:rPr>
          <w:rFonts w:ascii="Times New Roman" w:hAnsi="Times New Roman"/>
          <w:b/>
          <w:sz w:val="22"/>
        </w:rPr>
        <w:t>Votum der Berichterstatterin, Entwurfsstand: 18.09.2026</w:t>
      </w:r>
    </w:p>
    <w:p>
      <w:pPr>
        <w:pStyle w:val="Heading2"/>
        <w:spacing w:before="120" w:after="60" w:line="259" w:lineRule="auto"/>
      </w:pPr>
      <w:r>
        <w:rPr>
          <w:rFonts w:ascii="Times New Roman" w:hAnsi="Times New Roman"/>
          <w:b/>
          <w:sz w:val="22"/>
        </w:rPr>
        <w:t>Variante A: Stattgabe</w:t>
      </w:r>
    </w:p>
    <w:p>
      <w:pPr>
        <w:pStyle w:val="Heading3"/>
        <w:spacing w:before="120" w:after="60" w:line="259" w:lineRule="auto"/>
      </w:pPr>
      <w:r>
        <w:rPr>
          <w:rFonts w:ascii="Times New Roman" w:hAnsi="Times New Roman"/>
          <w:b/>
          <w:sz w:val="22"/>
        </w:rPr>
        <w:t>Tenor</w:t>
      </w:r>
    </w:p>
    <w:p>
      <w:pPr>
        <w:spacing w:line="259" w:lineRule="auto" w:after="60"/>
        <w:jc w:val="left"/>
      </w:pPr>
      <w:r>
        <w:t>Der Bescheid der Beklagten vom 10.06.2026 in Gestalt des Widerspruchsbescheids vom 24.06.2026 wird aufgehoben. Die Beklagte wird verurteilt, den Kläger mit einem geeigneten kompakten Elektrorollstuhl für Innenräume, Hausausgang und Nahbereich zu versorgen. Die Beklagte trägt die notwendigen außergerichtlichen Kosten des Klägers.</w:t>
      </w:r>
    </w:p>
    <w:p>
      <w:pPr>
        <w:pStyle w:val="Heading3"/>
        <w:spacing w:before="120" w:after="60" w:line="259" w:lineRule="auto"/>
      </w:pPr>
      <w:r>
        <w:rPr>
          <w:rFonts w:ascii="Times New Roman" w:hAnsi="Times New Roman"/>
          <w:b/>
          <w:sz w:val="22"/>
        </w:rPr>
        <w:t>Tragende Gründe</w:t>
      </w:r>
    </w:p>
    <w:p>
      <w:pPr>
        <w:spacing w:line="259" w:lineRule="auto" w:after="60"/>
        <w:jc w:val="left"/>
      </w:pPr>
      <w:r>
        <w:t>Der Kläger hat einen Anspruch aus Paragraf 33 SGB V. Der Elektrorollstuhl ist erforderlich, um die Behinderung im Bereich der Mobilität auszugleichen. Die Kammer folgt dem Facharztbericht Dr. Radtke und dem Gutachten Reha-Kompetenz Nordwest. Beide beruhen auf persönlicher Untersuchung und konkreter Funktionsprüfung. Die Stellungnahme des Medizinischen Dienstes beruht dagegen nur auf Aktenlage.</w:t>
      </w:r>
    </w:p>
    <w:p>
      <w:pPr>
        <w:spacing w:line="259" w:lineRule="auto" w:after="60"/>
        <w:jc w:val="left"/>
      </w:pPr>
      <w:r>
        <w:t>Der Kläger kann zwar einzelne Schritte gehen. Daraus folgt aber keine ausreichende Nahbereichsmobilität. Gehstock und Rollator sind wegen Sturzgefahr, Sensibilitätsstörung und fehlender Ausdauer nicht hinreichend sicher. Der Standard-Faltrollstuhl ist nicht geeignet, weil der Kläger ihn nicht selbständig antreiben kann. Ein Hilfsmittel, das nur mit einer schiebenden Begleitperson nutzbar ist, stellt den begehrten Basisausgleich nicht her.</w:t>
      </w:r>
    </w:p>
    <w:p>
      <w:pPr>
        <w:spacing w:line="259" w:lineRule="auto" w:after="60"/>
        <w:jc w:val="left"/>
      </w:pPr>
      <w:r>
        <w:t>Das Wirtschaftlichkeitsgebot steht dem Anspruch nicht entgegen. Die günstigere Versorgung ist nicht wirtschaftlich, wenn sie den Versorgungszweck verfehlt. Die Krankenkasse darf den Kläger nicht auf ein nur scheinbar ausreichendes Hilfsmittel verweisen.</w:t>
      </w:r>
    </w:p>
    <w:p>
      <w:pPr>
        <w:pStyle w:val="Heading3"/>
        <w:spacing w:line="259" w:lineRule="auto" w:after="60"/>
      </w:pPr>
      <w:r>
        <w:rPr>
          <w:rFonts w:ascii="Times New Roman" w:hAnsi="Times New Roman"/>
        </w:rPr>
        <w:t>Entscheidungsweichen</w:t>
      </w:r>
    </w:p>
    <w:p>
      <w:pPr>
        <w:spacing w:line="259" w:lineRule="auto" w:after="60"/>
        <w:jc w:val="left"/>
      </w:pPr>
      <w:r>
        <w:t>Diese Variante trägt, wenn die Beweisaufnahme bestätigt:</w:t>
      </w:r>
    </w:p>
    <w:p>
      <w:pPr>
        <w:pStyle w:val="ListNumber"/>
        <w:spacing w:line="259" w:lineRule="auto" w:after="60"/>
      </w:pPr>
      <w:r>
        <w:t>keine sichere Gehfähigkeit im realen Nahbereich,</w:t>
      </w:r>
    </w:p>
    <w:p>
      <w:pPr>
        <w:pStyle w:val="ListNumber"/>
        <w:spacing w:line="259" w:lineRule="auto" w:after="60"/>
      </w:pPr>
      <w:r>
        <w:t>keine eigenständige Nutzung eines manuellen Rollstuhls,</w:t>
      </w:r>
    </w:p>
    <w:p>
      <w:pPr>
        <w:pStyle w:val="ListNumber"/>
        <w:spacing w:line="259" w:lineRule="auto" w:after="60"/>
      </w:pPr>
      <w:r>
        <w:t>ausreichende Fahrsicherheit bei gedrosseltem Elektrorollstuhl,</w:t>
      </w:r>
    </w:p>
    <w:p>
      <w:pPr>
        <w:pStyle w:val="ListNumber"/>
        <w:spacing w:line="259" w:lineRule="auto" w:after="60"/>
      </w:pPr>
      <w:r>
        <w:t>keine gleich geeignete, günstigere Alternative.</w:t>
      </w:r>
    </w:p>
    <w:p>
      <w:pPr>
        <w:pStyle w:val="Heading2"/>
        <w:spacing w:line="259" w:lineRule="auto" w:after="60"/>
      </w:pPr>
      <w:r>
        <w:rPr>
          <w:rFonts w:ascii="Times New Roman" w:hAnsi="Times New Roman"/>
        </w:rPr>
        <w:t>Variante B: Klageabweisung</w:t>
      </w:r>
    </w:p>
    <w:p>
      <w:pPr>
        <w:pStyle w:val="Heading3"/>
        <w:spacing w:line="259" w:lineRule="auto" w:after="60"/>
      </w:pPr>
      <w:r>
        <w:rPr>
          <w:rFonts w:ascii="Times New Roman" w:hAnsi="Times New Roman"/>
        </w:rPr>
        <w:t>Tenor</w:t>
      </w:r>
    </w:p>
    <w:p>
      <w:pPr>
        <w:spacing w:line="259" w:lineRule="auto" w:after="60"/>
        <w:jc w:val="left"/>
      </w:pPr>
      <w:r>
        <w:t>Die Klage wird abgewiesen. Außergerichtliche Kosten sind nicht zu erstatten.</w:t>
      </w:r>
    </w:p>
    <w:p>
      <w:pPr>
        <w:pStyle w:val="Heading3"/>
        <w:spacing w:line="259" w:lineRule="auto" w:after="60"/>
      </w:pPr>
      <w:r>
        <w:rPr>
          <w:rFonts w:ascii="Times New Roman" w:hAnsi="Times New Roman"/>
        </w:rPr>
        <w:t>Tragende Gründe</w:t>
      </w:r>
    </w:p>
    <w:p>
      <w:pPr>
        <w:spacing w:line="259" w:lineRule="auto" w:after="60"/>
        <w:jc w:val="left"/>
      </w:pPr>
      <w:r>
        <w:t>Die Klage ist unbegründet. Der Kläger hat keinen Anspruch auf Versorgung mit dem konkret beantragten Elektrorollstuhl. Die Beweisaufnahme hat ergeben, dass der Kläger im Innenbereich und auf kurzen ebenen Strecken mit Rollator ausreichend sicher mobil ist. Für längere Wege kann ein Standard-Faltrollstuhl mit Begleitung eingesetzt werden. Eine Fahrsicherheit mit Elektrorollstuhl ist nicht ausreichend belegt.</w:t>
      </w:r>
    </w:p>
    <w:p>
      <w:pPr>
        <w:spacing w:line="259" w:lineRule="auto" w:after="60"/>
        <w:jc w:val="left"/>
      </w:pPr>
      <w:r>
        <w:t>Die gesetzliche Krankenversicherung schuldet keinen Ausgleich sämtlicher Wohnumfeldhindernisse. Die fehlende Barrierefreiheit des Altbaus, die Treppen und die fehlende ständige Begleitperson begründen für sich genommen keinen Anspruch auf die kostenintensive elektrische Versorgung.</w:t>
      </w:r>
    </w:p>
    <w:p>
      <w:pPr>
        <w:pStyle w:val="Heading3"/>
        <w:spacing w:line="259" w:lineRule="auto" w:after="60"/>
      </w:pPr>
      <w:r>
        <w:rPr>
          <w:rFonts w:ascii="Times New Roman" w:hAnsi="Times New Roman"/>
        </w:rPr>
        <w:t>Entscheidungsweichen</w:t>
      </w:r>
    </w:p>
    <w:p>
      <w:pPr>
        <w:spacing w:line="259" w:lineRule="auto" w:after="60"/>
        <w:jc w:val="left"/>
      </w:pPr>
      <w:r>
        <w:t>Diese Variante trägt nur, wenn die Beweisaufnahme bestätigt:</w:t>
      </w:r>
    </w:p>
    <w:p>
      <w:pPr>
        <w:pStyle w:val="ListNumber"/>
        <w:spacing w:line="259" w:lineRule="auto" w:after="60"/>
      </w:pPr>
      <w:r>
        <w:t>sichere Restgehfähigkeit mit Rollator im Nahbereich,</w:t>
      </w:r>
    </w:p>
    <w:p>
      <w:pPr>
        <w:pStyle w:val="ListNumber"/>
        <w:spacing w:line="259" w:lineRule="auto" w:after="60"/>
      </w:pPr>
      <w:r>
        <w:t>ausreichende Verfügbarkeit anderer Hilfen,</w:t>
      </w:r>
    </w:p>
    <w:p>
      <w:pPr>
        <w:pStyle w:val="ListNumber"/>
        <w:spacing w:line="259" w:lineRule="auto" w:after="60"/>
      </w:pPr>
      <w:r>
        <w:t>fehlende Fahrsicherheit des Klägers,</w:t>
      </w:r>
    </w:p>
    <w:p>
      <w:pPr>
        <w:pStyle w:val="ListNumber"/>
        <w:spacing w:line="259" w:lineRule="auto" w:after="60"/>
      </w:pPr>
      <w:r>
        <w:t>keine konkrete Notwendigkeit elektrischer Eigenmobilität.</w:t>
      </w:r>
    </w:p>
    <w:p>
      <w:pPr>
        <w:pStyle w:val="Heading2"/>
        <w:spacing w:line="259" w:lineRule="auto" w:after="60"/>
      </w:pPr>
      <w:r>
        <w:rPr>
          <w:rFonts w:ascii="Times New Roman" w:hAnsi="Times New Roman"/>
        </w:rPr>
        <w:t>Richterliche Arbeitsnotiz</w:t>
      </w:r>
    </w:p>
    <w:p>
      <w:pPr>
        <w:spacing w:line="259" w:lineRule="auto" w:after="60"/>
        <w:jc w:val="left"/>
      </w:pPr>
      <w:r>
        <w:t>Die Akte kippt nicht an der Kostenhöhe allein. Sie kippt an der Tatsachenfrage, ob einfache Hilfsmittel den Basisausgleich wirklich leisten. Die Begründung muss deshalb die Funktionsprüfung, die konkrete Wohn- und Wegesituation und die Fahrsicherheit deutlich herausarbeiten.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