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der Kinderklinik Jena</w:t>
      </w:r>
    </w:p>
    <w:p>
      <w:pPr>
        <w:spacing w:before="120" w:after="60" w:line="259" w:lineRule="auto"/>
        <w:jc w:val="left"/>
      </w:pPr>
      <w:r>
        <w:rPr>
          <w:rFonts w:ascii="Times New Roman" w:hAnsi="Times New Roman"/>
          <w:b/>
          <w:sz w:val="22"/>
        </w:rPr>
        <w:t>Universitätsklinikum Jena</w:t>
      </w:r>
    </w:p>
    <w:p>
      <w:pPr>
        <w:spacing w:before="120" w:after="60" w:line="259" w:lineRule="auto"/>
        <w:jc w:val="left"/>
      </w:pPr>
      <w:r>
        <w:rPr>
          <w:rFonts w:ascii="Times New Roman" w:hAnsi="Times New Roman"/>
          <w:b/>
          <w:sz w:val="22"/>
        </w:rPr>
        <w:t>Klinik für Kinder- und Jugendmedizin</w:t>
      </w:r>
    </w:p>
    <w:p>
      <w:pPr>
        <w:spacing w:before="120" w:after="60" w:line="259" w:lineRule="auto"/>
        <w:jc w:val="left"/>
      </w:pPr>
      <w:r>
        <w:rPr>
          <w:rFonts w:ascii="Times New Roman" w:hAnsi="Times New Roman"/>
          <w:b/>
          <w:sz w:val="22"/>
        </w:rPr>
        <w:t>Zentrum für seltene Stoffwechselerkrankungen</w:t>
      </w:r>
    </w:p>
    <w:p>
      <w:pPr>
        <w:spacing w:before="120" w:after="60" w:line="259" w:lineRule="auto"/>
        <w:jc w:val="left"/>
      </w:pPr>
      <w:r>
        <w:rPr>
          <w:rFonts w:ascii="Times New Roman" w:hAnsi="Times New Roman"/>
          <w:b/>
          <w:sz w:val="22"/>
        </w:rPr>
        <w:t>Am Klinikum 1, 07747 Jena</w:t>
      </w:r>
    </w:p>
    <w:p>
      <w:pPr>
        <w:spacing w:before="120" w:after="60" w:line="259" w:lineRule="auto"/>
        <w:jc w:val="left"/>
      </w:pPr>
      <w:r>
        <w:rPr>
          <w:rFonts w:ascii="Times New Roman" w:hAnsi="Times New Roman"/>
          <w:b/>
          <w:sz w:val="22"/>
        </w:rPr>
        <w:t>Telefon 03641 9-32 91 00</w:t>
      </w:r>
    </w:p>
    <w:p>
      <w:pPr>
        <w:spacing w:before="120" w:after="60" w:line="259" w:lineRule="auto"/>
        <w:jc w:val="left"/>
      </w:pPr>
      <w:r>
        <w:rPr>
          <w:rFonts w:ascii="Times New Roman" w:hAnsi="Times New Roman"/>
          <w:b/>
          <w:sz w:val="22"/>
        </w:rPr>
        <w:t>Behandelnder Arzt: Prof. Dr. med. Albrecht Merten, Leiter des Zentrums</w:t>
      </w:r>
    </w:p>
    <w:p>
      <w:pPr>
        <w:spacing w:before="120" w:after="60" w:line="259" w:lineRule="auto"/>
        <w:jc w:val="left"/>
      </w:pPr>
      <w:r>
        <w:rPr>
          <w:rFonts w:ascii="Times New Roman" w:hAnsi="Times New Roman"/>
          <w:b/>
          <w:sz w:val="22"/>
        </w:rPr>
        <w:t>Jena, den 03.06.2026</w:t>
      </w:r>
    </w:p>
    <w:p>
      <w:pPr>
        <w:spacing w:line="259" w:lineRule="auto" w:after="60"/>
        <w:jc w:val="left"/>
      </w:pPr>
      <w:r>
        <w:t>An die</w:t>
      </w:r>
    </w:p>
    <w:p>
      <w:pPr>
        <w:spacing w:line="259" w:lineRule="auto" w:after="60"/>
        <w:jc w:val="left"/>
      </w:pPr>
      <w:r>
        <w:t>SaalePlus Krankenkasse</w:t>
      </w:r>
    </w:p>
    <w:p>
      <w:pPr>
        <w:spacing w:line="259" w:lineRule="auto" w:after="60"/>
        <w:jc w:val="left"/>
      </w:pPr>
      <w:r>
        <w:t>Leistungsbereich Arznei- und Hilfsmittel</w:t>
      </w:r>
    </w:p>
    <w:p>
      <w:pPr>
        <w:spacing w:line="259" w:lineRule="auto" w:after="60"/>
        <w:jc w:val="left"/>
      </w:pPr>
      <w:r>
        <w:t>Spitzweidenweg 29</w:t>
      </w:r>
    </w:p>
    <w:p>
      <w:pPr>
        <w:spacing w:line="259" w:lineRule="auto" w:after="60"/>
        <w:jc w:val="left"/>
      </w:pPr>
      <w:r>
        <w:t>07743 Jena</w:t>
      </w:r>
    </w:p>
    <w:p>
      <w:pPr>
        <w:spacing w:line="259" w:lineRule="auto" w:after="60"/>
        <w:jc w:val="left"/>
      </w:pPr>
      <w:r>
        <w:rPr>
          <w:b/>
        </w:rPr>
        <w:t>Antrag auf Kostenübernahme einer Enzymsubstitution; Versicherte Samira Wehner, geboren am 19.08.2008, Versichertennummer T582419307</w:t>
      </w:r>
    </w:p>
    <w:p>
      <w:pPr>
        <w:pStyle w:val="Heading2"/>
        <w:spacing w:line="259" w:lineRule="auto" w:after="60"/>
      </w:pPr>
      <w:r>
        <w:rPr>
          <w:rFonts w:ascii="Times New Roman" w:hAnsi="Times New Roman"/>
        </w:rPr>
        <w:t>Antrag</w:t>
      </w:r>
    </w:p>
    <w:p>
      <w:pPr>
        <w:spacing w:line="259" w:lineRule="auto" w:after="60"/>
        <w:jc w:val="left"/>
      </w:pPr>
      <w:r>
        <w:t>Für unsere Patientin Samira Wehner beantragen wir die Kostenübernahme einer Enzymsubstitution mit Velaglucase-Nord. Die Patientin leidet an einer seltenen lysosomalen Speichererkrankung mit neurologischer Beteiligung. Die Erkrankung zeigt seit März 2026 eine klinisch relevante Progression.</w:t>
      </w:r>
    </w:p>
    <w:p>
      <w:pPr>
        <w:pStyle w:val="Heading2"/>
        <w:spacing w:line="259" w:lineRule="auto" w:after="60"/>
      </w:pPr>
      <w:r>
        <w:rPr>
          <w:rFonts w:ascii="Times New Roman" w:hAnsi="Times New Roman"/>
        </w:rPr>
        <w:t>Medizinisches Ziel</w:t>
      </w:r>
    </w:p>
    <w:p>
      <w:pPr>
        <w:spacing w:line="259" w:lineRule="auto" w:after="60"/>
        <w:jc w:val="left"/>
      </w:pPr>
      <w:r>
        <w:t>Das Ziel ist nicht Symptomkomfort, sondern die Verlangsamung der neurologischen Verschlechterung und der Erhalt der schulischen und alltäglichen Selbstständigkeit. Ohne Behandlung drohen nach unserer Einschätzung irreversible Schäden an Feinmotorik, Kognition und Gangbild.</w:t>
      </w:r>
    </w:p>
    <w:p>
      <w:pPr>
        <w:pStyle w:val="Heading2"/>
        <w:spacing w:line="259" w:lineRule="auto" w:after="60"/>
      </w:pPr>
      <w:r>
        <w:rPr>
          <w:rFonts w:ascii="Times New Roman" w:hAnsi="Times New Roman"/>
        </w:rPr>
        <w:t>Bisherige Behandlung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Maßnahme</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2022 bis 2024</w:t>
            </w:r>
          </w:p>
        </w:tc>
        <w:tc>
          <w:tcPr>
            <w:tcW w:type="dxa" w:w="3024"/>
          </w:tcPr>
          <w:p>
            <w:r>
              <w:rPr>
                <w:rFonts w:ascii="Times New Roman" w:hAnsi="Times New Roman"/>
                <w:sz w:val="20"/>
              </w:rPr>
              <w:t>symptomatische Schmerztherapie</w:t>
            </w:r>
          </w:p>
        </w:tc>
        <w:tc>
          <w:tcPr>
            <w:tcW w:type="dxa" w:w="3024"/>
          </w:tcPr>
          <w:p>
            <w:r>
              <w:rPr>
                <w:rFonts w:ascii="Times New Roman" w:hAnsi="Times New Roman"/>
                <w:sz w:val="20"/>
              </w:rPr>
              <w:t>teilweise Entlastung</w:t>
            </w:r>
          </w:p>
        </w:tc>
      </w:tr>
      <w:tr>
        <w:tc>
          <w:tcPr>
            <w:tcW w:type="dxa" w:w="3024"/>
          </w:tcPr>
          <w:p>
            <w:r>
              <w:rPr>
                <w:rFonts w:ascii="Times New Roman" w:hAnsi="Times New Roman"/>
                <w:sz w:val="20"/>
              </w:rPr>
              <w:t>2024</w:t>
            </w:r>
          </w:p>
        </w:tc>
        <w:tc>
          <w:tcPr>
            <w:tcW w:type="dxa" w:w="3024"/>
          </w:tcPr>
          <w:p>
            <w:r>
              <w:rPr>
                <w:rFonts w:ascii="Times New Roman" w:hAnsi="Times New Roman"/>
                <w:sz w:val="20"/>
              </w:rPr>
              <w:t>Physiotherapie und Ergotherapie</w:t>
            </w:r>
          </w:p>
        </w:tc>
        <w:tc>
          <w:tcPr>
            <w:tcW w:type="dxa" w:w="3024"/>
          </w:tcPr>
          <w:p>
            <w:r>
              <w:rPr>
                <w:rFonts w:ascii="Times New Roman" w:hAnsi="Times New Roman"/>
                <w:sz w:val="20"/>
              </w:rPr>
              <w:t>Stabilisierung Feinmotorik</w:t>
            </w:r>
          </w:p>
        </w:tc>
      </w:tr>
      <w:tr>
        <w:tc>
          <w:tcPr>
            <w:tcW w:type="dxa" w:w="3024"/>
          </w:tcPr>
          <w:p>
            <w:r>
              <w:rPr>
                <w:rFonts w:ascii="Times New Roman" w:hAnsi="Times New Roman"/>
                <w:sz w:val="20"/>
              </w:rPr>
              <w:t>2025</w:t>
            </w:r>
          </w:p>
        </w:tc>
        <w:tc>
          <w:tcPr>
            <w:tcW w:type="dxa" w:w="3024"/>
          </w:tcPr>
          <w:p>
            <w:r>
              <w:rPr>
                <w:rFonts w:ascii="Times New Roman" w:hAnsi="Times New Roman"/>
                <w:sz w:val="20"/>
              </w:rPr>
              <w:t>Ernährungs- und Stoffwechselberatung</w:t>
            </w:r>
          </w:p>
        </w:tc>
        <w:tc>
          <w:tcPr>
            <w:tcW w:type="dxa" w:w="3024"/>
          </w:tcPr>
          <w:p>
            <w:r>
              <w:rPr>
                <w:rFonts w:ascii="Times New Roman" w:hAnsi="Times New Roman"/>
                <w:sz w:val="20"/>
              </w:rPr>
              <w:t>keine Progressionskontrolle</w:t>
            </w:r>
          </w:p>
        </w:tc>
      </w:tr>
      <w:tr>
        <w:tc>
          <w:tcPr>
            <w:tcW w:type="dxa" w:w="3024"/>
          </w:tcPr>
          <w:p>
            <w:r>
              <w:rPr>
                <w:rFonts w:ascii="Times New Roman" w:hAnsi="Times New Roman"/>
                <w:sz w:val="20"/>
              </w:rPr>
              <w:t>2026</w:t>
            </w:r>
          </w:p>
        </w:tc>
        <w:tc>
          <w:tcPr>
            <w:tcW w:type="dxa" w:w="3024"/>
          </w:tcPr>
          <w:p>
            <w:r>
              <w:rPr>
                <w:rFonts w:ascii="Times New Roman" w:hAnsi="Times New Roman"/>
                <w:sz w:val="20"/>
              </w:rPr>
              <w:t>intensivierte Ergotherapie</w:t>
            </w:r>
          </w:p>
        </w:tc>
        <w:tc>
          <w:tcPr>
            <w:tcW w:type="dxa" w:w="3024"/>
          </w:tcPr>
          <w:p>
            <w:r>
              <w:rPr>
                <w:rFonts w:ascii="Times New Roman" w:hAnsi="Times New Roman"/>
                <w:sz w:val="20"/>
              </w:rPr>
              <w:t>Verschlechterung trotz Therapie</w:t>
            </w:r>
          </w:p>
        </w:tc>
      </w:tr>
    </w:tbl>
    <w:p>
      <w:pPr>
        <w:pStyle w:val="Heading2"/>
        <w:spacing w:line="259" w:lineRule="auto" w:after="60"/>
      </w:pPr>
      <w:r>
        <w:rPr>
          <w:rFonts w:ascii="Times New Roman" w:hAnsi="Times New Roman"/>
        </w:rPr>
        <w:t>Begründung für Velaglucase-Nord</w:t>
      </w:r>
    </w:p>
    <w:p>
      <w:pPr>
        <w:spacing w:line="259" w:lineRule="auto" w:after="60"/>
        <w:jc w:val="left"/>
      </w:pPr>
      <w:r>
        <w:t>Das Arzneimittel ist für eine eng verwandte Unterform der Erkrankung zugelassen. Bei der Mutation unserer Patientin liegt keine identische Zulassungssituation vor. Die biochemische Zielstruktur ist jedoch vergleichbar, und die internationale Fallserie VELO-Teen zeigt bei fünf Jugendlichen eine Stabilisierung über zwölf Monate. Wir halten einen Therapieversuch für medizinisch geboten. Der molekulargenetische Befund des Instituts für Humangenetik Jena vom 14.04.2026 und der neuropädiatrische Verlaufsbefund vom 22.05.2026 liegen diesem Antrag bei.</w:t>
      </w:r>
    </w:p>
    <w:p>
      <w:pPr>
        <w:spacing w:line="259" w:lineRule="auto" w:after="60"/>
        <w:jc w:val="left"/>
      </w:pPr>
      <w:r>
        <w:t>Die jährlichen Arzneimittelkosten betragen voraussichtlich 486.000 EUR. Die Behandlung soll zunächst für sechs Monate bewilligt und anhand objektiver neurologischer Parameter überprüft werden; einen Dosis- und Kostenplan mit Abbruchkriterien reichen wir auf Anforderung unverzüglich nach.</w:t>
      </w:r>
    </w:p>
    <w:p>
      <w:pPr>
        <w:spacing w:line="259" w:lineRule="auto" w:after="60"/>
        <w:jc w:val="left"/>
      </w:pPr>
      <w:r>
        <w:t>Wegen des empfohlenen Therapiebeginns Anfang August 2026 bitten wir um zeitnahe Entscheidung. Für Rückfragen steht Prof. Dr. Merten persönlich zur Verfügung.</w:t>
      </w:r>
    </w:p>
    <w:p>
      <w:pPr>
        <w:spacing w:line="259" w:lineRule="auto" w:after="60"/>
        <w:jc w:val="left"/>
      </w:pPr>
      <w:r>
        <w:t>Mit freundlichen Grüßen</w:t>
      </w:r>
    </w:p>
    <w:p>
      <w:pPr>
        <w:spacing w:line="259" w:lineRule="auto" w:after="60"/>
        <w:jc w:val="left"/>
      </w:pPr>
      <w:r>
        <w:t>Prof. Dr. med. Albrecht Merten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