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Genetik und Krankheitsverlauf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Molekulargenetischer Befund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Universitätsklinikum Jena, Institut für Humangenetik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Am Klinikum 1, 07747 Jena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Befundbericht vom 14.04.2026, Untersuchungsmaterial: EDTA-Blut vom 24.03.2026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Patientin: Samira Wehner, geboren am 19.08.2008</w:t>
      </w:r>
    </w:p>
    <w:p>
      <w:pPr>
        <w:spacing w:line="259" w:lineRule="auto" w:after="60"/>
        <w:jc w:val="left"/>
      </w:pPr>
      <w:r>
        <w:t>Nachweis einer homozygoten Variante c.884G&gt;A im Gen LSN2. Die Variante wird nach den geltenden Klassifikationskriterien als wahrscheinlich pathogen bewertet (Klasse 4). Beide Eltern sind heterozygote Anlageträger; die Segregationsanalyse stützt die Einstufung. In der Datenbank RareMet-Registry sind 18 Fälle mit vergleichbarer neurologischer Beteiligung dokumentiert. Für die exakte Variante liegen international nur zwei Verlaufsberichte vor.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Neuropädiatrischer Verlaufsbefund</w:t>
      </w:r>
    </w:p>
    <w:p>
      <w:pPr>
        <w:spacing w:line="259" w:lineRule="auto" w:after="60"/>
        <w:jc w:val="left"/>
      </w:pPr>
      <w:r>
        <w:t>Universitätsklinikum Jena, Sektion Neuropädiatrie, Untersuchung vom 22.05.2026, Oberärztin Dr. med. Silvana Krettek:</w:t>
      </w:r>
    </w:p>
    <w:p>
      <w:pPr>
        <w:pStyle w:val="ListBullet"/>
        <w:spacing w:line="259" w:lineRule="auto" w:after="60"/>
      </w:pPr>
      <w:r>
        <w:t>Feinmotorik rechts deutlich verlangsamt (Nine-Hole-Peg-Test rechts 34,8 Sekunden, Vorwert Oktober 2025: 26,1 Sekunden).</w:t>
      </w:r>
    </w:p>
    <w:p>
      <w:pPr>
        <w:pStyle w:val="ListBullet"/>
        <w:spacing w:line="259" w:lineRule="auto" w:after="60"/>
      </w:pPr>
      <w:r>
        <w:t>Gangbild unsicher bei schneller Richtungsänderung, Seiltänzergang nur mit Ausfallschritten.</w:t>
      </w:r>
    </w:p>
    <w:p>
      <w:pPr>
        <w:pStyle w:val="ListBullet"/>
        <w:spacing w:line="259" w:lineRule="auto" w:after="60"/>
      </w:pPr>
      <w:r>
        <w:t>Konzentrationsspanne im standardisierten Test unter dem altersentsprechenden Niveau.</w:t>
      </w:r>
    </w:p>
    <w:p>
      <w:pPr>
        <w:pStyle w:val="ListBullet"/>
        <w:spacing w:line="259" w:lineRule="auto" w:after="60"/>
      </w:pPr>
      <w:r>
        <w:t>MRT vom 19.05.2026 ohne akute Entzündung, aber diskrete Signalveränderungen im Kleinhirn, gegenüber der Voraufnahme von 2024 leicht zunehmend.</w:t>
      </w:r>
    </w:p>
    <w:p>
      <w:pPr>
        <w:pStyle w:val="ListBullet"/>
        <w:spacing w:line="259" w:lineRule="auto" w:after="60"/>
      </w:pPr>
      <w:r>
        <w:t>Empfehlung: rasche Entscheidung über eine krankheitsmodifizierende Therapie; erneute Verlaufskontrolle in acht Wochen.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Symptomtagebuch der Eltern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Woche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Beobachtung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13.05. bis 19.05.2026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drei Schultage vorzeitig beendet, Schmerzen in den Beinen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20.05. bis 26.05.2026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Treppe zur Wohnung nur mit Pause, Sturz auf dem Gehweg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 bis 02.06.2026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Mathearbeit abgebrochen, Zittern der rechten Hand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03.06. bis 09.06.2026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zwei Nächte mit starken Schmerzen, kein Sportunterricht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Kanzlei Ahlers und Brinkmann | Sozialrechtliche Leistungsakte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