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der Eltern und anwaltliche Nachschärfung</w:t>
      </w:r>
    </w:p>
    <w:p>
      <w:pPr>
        <w:pStyle w:val="Heading2"/>
        <w:spacing w:before="120" w:after="60" w:line="259" w:lineRule="auto"/>
      </w:pPr>
      <w:r>
        <w:rPr>
          <w:rFonts w:ascii="Times New Roman" w:hAnsi="Times New Roman"/>
          <w:b/>
          <w:sz w:val="22"/>
        </w:rPr>
        <w:t>Eigenhändiger Widerspruch der Eltern vom 25.06.2026</w:t>
      </w:r>
    </w:p>
    <w:p>
      <w:pPr>
        <w:spacing w:before="120" w:after="60" w:line="259" w:lineRule="auto"/>
        <w:jc w:val="left"/>
      </w:pPr>
      <w:r>
        <w:rPr>
          <w:rFonts w:ascii="Times New Roman" w:hAnsi="Times New Roman"/>
          <w:b/>
          <w:sz w:val="22"/>
        </w:rPr>
        <w:t>Katrin und Robert Wehner</w:t>
      </w:r>
    </w:p>
    <w:p>
      <w:pPr>
        <w:spacing w:before="120" w:after="60" w:line="259" w:lineRule="auto"/>
        <w:jc w:val="left"/>
      </w:pPr>
      <w:r>
        <w:rPr>
          <w:rFonts w:ascii="Times New Roman" w:hAnsi="Times New Roman"/>
          <w:b/>
          <w:sz w:val="22"/>
        </w:rPr>
        <w:t>Ziegesarstraße 24</w:t>
      </w:r>
    </w:p>
    <w:p>
      <w:pPr>
        <w:spacing w:before="120" w:after="60" w:line="259" w:lineRule="auto"/>
        <w:jc w:val="left"/>
      </w:pPr>
      <w:r>
        <w:rPr>
          <w:rFonts w:ascii="Times New Roman" w:hAnsi="Times New Roman"/>
          <w:b/>
          <w:sz w:val="22"/>
        </w:rPr>
        <w:t>07747 Jena</w:t>
      </w:r>
    </w:p>
    <w:p>
      <w:pPr>
        <w:spacing w:before="120" w:after="60" w:line="259" w:lineRule="auto"/>
        <w:jc w:val="left"/>
      </w:pPr>
      <w:r>
        <w:rPr>
          <w:rFonts w:ascii="Times New Roman" w:hAnsi="Times New Roman"/>
          <w:b/>
          <w:sz w:val="22"/>
        </w:rPr>
        <w:t>An die SaalePlus Krankenkasse</w:t>
      </w:r>
    </w:p>
    <w:p>
      <w:pPr>
        <w:spacing w:before="120" w:after="60" w:line="259" w:lineRule="auto"/>
        <w:jc w:val="left"/>
      </w:pPr>
      <w:r>
        <w:rPr>
          <w:rFonts w:ascii="Times New Roman" w:hAnsi="Times New Roman"/>
          <w:b/>
          <w:sz w:val="22"/>
        </w:rPr>
        <w:t>Spitzweidenweg 29</w:t>
      </w:r>
    </w:p>
    <w:p>
      <w:pPr>
        <w:spacing w:before="120" w:after="60" w:line="259" w:lineRule="auto"/>
        <w:jc w:val="left"/>
      </w:pPr>
      <w:r>
        <w:rPr>
          <w:rFonts w:ascii="Times New Roman" w:hAnsi="Times New Roman"/>
          <w:b/>
          <w:sz w:val="22"/>
        </w:rPr>
        <w:t>07743 Jena</w:t>
      </w:r>
    </w:p>
    <w:p>
      <w:pPr>
        <w:spacing w:line="259" w:lineRule="auto" w:after="60"/>
        <w:jc w:val="left"/>
      </w:pPr>
      <w:r>
        <w:t>Jena, den 25.06.2026</w:t>
      </w:r>
    </w:p>
    <w:p>
      <w:pPr>
        <w:spacing w:line="259" w:lineRule="auto" w:after="60"/>
        <w:jc w:val="left"/>
      </w:pPr>
      <w:r>
        <w:t>Ihr Aktenzeichen: AM-2026-044519</w:t>
      </w:r>
    </w:p>
    <w:p>
      <w:pPr>
        <w:spacing w:line="259" w:lineRule="auto" w:after="60"/>
        <w:jc w:val="left"/>
      </w:pPr>
      <w:r>
        <w:t>Sehr geehrte Damen und Herren,</w:t>
      </w:r>
    </w:p>
    <w:p>
      <w:pPr>
        <w:spacing w:line="259" w:lineRule="auto" w:after="60"/>
        <w:jc w:val="left"/>
      </w:pPr>
      <w:r>
        <w:t>wir widersprechen der Ablehnung für unsere Tochter Samira (Bescheid vom 19.06.2026). Es geht nicht um irgendein teures Medikament, sondern um ihre Chance, weiter laufen, schreiben und zur Schule gehen zu können. Die Klinik in Jena kennt Samira seit Jahren. Wenn wir jetzt weiter warten, kann das, was verloren geht, nicht rückgängig gemacht werden.</w:t>
      </w:r>
    </w:p>
    <w:p>
      <w:pPr>
        <w:spacing w:line="259" w:lineRule="auto" w:after="60"/>
        <w:jc w:val="left"/>
      </w:pPr>
      <w:r>
        <w:t>Bitte entscheiden Sie neu und sprechen Sie mit Prof. Merten persönlich.</w:t>
      </w:r>
    </w:p>
    <w:p>
      <w:pPr>
        <w:spacing w:line="259" w:lineRule="auto" w:after="60"/>
        <w:jc w:val="left"/>
      </w:pPr>
      <w:r>
        <w:t>Katrin Wehner        Robert Wehner</w:t>
      </w:r>
    </w:p>
    <w:p>
      <w:pPr>
        <w:pStyle w:val="Heading2"/>
        <w:spacing w:line="259" w:lineRule="auto" w:after="60"/>
      </w:pPr>
      <w:r>
        <w:rPr>
          <w:rFonts w:ascii="Times New Roman" w:hAnsi="Times New Roman"/>
        </w:rPr>
        <w:t>Anwaltlicher Ergänzungsentwurf zur Widerspruchsbegründung</w:t>
      </w:r>
    </w:p>
    <w:p>
      <w:pPr>
        <w:spacing w:line="259" w:lineRule="auto" w:after="60"/>
        <w:jc w:val="left"/>
      </w:pPr>
      <w:r>
        <w:t>Kanzlei Reinbold &amp; Casparius Rechtsanwälte, Löbdergraben 11a, 07743 Jena</w:t>
      </w:r>
    </w:p>
    <w:p>
      <w:pPr>
        <w:spacing w:line="259" w:lineRule="auto" w:after="60"/>
        <w:jc w:val="left"/>
      </w:pPr>
      <w:r>
        <w:t>Entwurf vom 01.07.2026, Az. 2026-118-WE/re — Versand nach Freigabe durch die Eltern</w:t>
      </w:r>
    </w:p>
    <w:p>
      <w:pPr>
        <w:spacing w:line="259" w:lineRule="auto" w:after="60"/>
        <w:jc w:val="left"/>
      </w:pPr>
      <w:r>
        <w:t>Der Widerspruch vom 25.06.2026 wird wie folgt vertieft.</w:t>
      </w:r>
    </w:p>
    <w:p>
      <w:pPr>
        <w:spacing w:line="259" w:lineRule="auto" w:after="60"/>
        <w:jc w:val="left"/>
      </w:pPr>
      <w:r>
        <w:t>Die Ablehnung verletzt den Amtsermittlungsgrundsatz, weil sie ausschließlich auf eine Bewertung nach Aktenlage gestützt ist und den konkreten, dokumentierten Progressionsverlauf nicht ausreichend würdigt. Der Gutachter des Medizinischen Dienstes ist Internist; eine kinder- und jugendmedizinische oder stoffwechselmedizinische Befassung hat nicht stattgefunden. Die Stellungnahme setzt sich nicht damit auseinander, ob die fortschreitende neurologische Verschlechterung irreversibel sein kann; genau darauf kommt es bei der Abwägung an. Ebenso wenig prüft sie, ob eine befristete Bewilligung mit objektiven Verlaufsparametern ein milderes Mittel gegenüber der vollständigen Ablehnung wäre. Die persönliche Situation einer Minderjährigen in schulischer Ausbildung wird nur am Rand erwähnt.</w:t>
      </w:r>
    </w:p>
    <w:p>
      <w:pPr>
        <w:spacing w:line="259" w:lineRule="auto" w:after="60"/>
        <w:jc w:val="left"/>
      </w:pPr>
      <w:r>
        <w:t>Die beantragte Versorgung zielt nicht auf eine unbegrenzte Erprobung, sondern auf eine kontrollierte Therapie über sechs Monate mit klaren Abbruchkriterien: Gangbild, Feinmotorik (Nine-Hole-Peg-Test), Schultage pro Woche, Schmerzepisoden und MRT-Verlauf. Der Fall hängt rechtlich daran, ob die vorhandene Evidenz — Fallserie VELO-Teen, Registerdaten, molekularer Befund — als mehr als eine bloß entfernte Aussicht auf Besserung zu bewerten ist und ob die drohende Verfestigung neurologischer Schäden die Eilbedürftigkeit trägt. Diese Fragen wird die Kasse nicht nach Aktenlage beantworten können.</w:t>
      </w:r>
    </w:p>
    <w:p>
      <w:pPr>
        <w:spacing w:line="259" w:lineRule="auto" w:after="60"/>
        <w:jc w:val="left"/>
      </w:pPr>
      <w:r>
        <w:t>Hilfsweise wird beantragt, unverzüglich eine fachpädiatrisch-stoffwechselmedizinische Zweitbegutachtung mit persönlicher Untersuchung einzuholen und bis dahin eine vorläufige Kostenzusage für die erste Behandlungsphase zu erteilen.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