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Dosisplan und Kostenvermerk der Spezialambulanz</w:t>
      </w:r>
    </w:p>
    <w:p>
      <w:pPr>
        <w:spacing w:before="120" w:after="60" w:line="259" w:lineRule="auto"/>
        <w:jc w:val="left"/>
      </w:pPr>
      <w:r>
        <w:rPr>
          <w:rFonts w:ascii="Times New Roman" w:hAnsi="Times New Roman"/>
          <w:b/>
          <w:sz w:val="22"/>
        </w:rPr>
        <w:t>Universitätsklinikum Jena</w:t>
      </w:r>
    </w:p>
    <w:p>
      <w:pPr>
        <w:spacing w:before="120" w:after="60" w:line="259" w:lineRule="auto"/>
        <w:jc w:val="left"/>
      </w:pPr>
      <w:r>
        <w:rPr>
          <w:rFonts w:ascii="Times New Roman" w:hAnsi="Times New Roman"/>
          <w:b/>
          <w:sz w:val="22"/>
        </w:rPr>
        <w:t>Zentrum für seltene Stoffwechselerkrankungen — Spezialambulanz</w:t>
      </w:r>
    </w:p>
    <w:p>
      <w:pPr>
        <w:spacing w:before="120" w:after="60" w:line="259" w:lineRule="auto"/>
        <w:jc w:val="left"/>
      </w:pPr>
      <w:r>
        <w:rPr>
          <w:rFonts w:ascii="Times New Roman" w:hAnsi="Times New Roman"/>
          <w:b/>
          <w:sz w:val="22"/>
        </w:rPr>
        <w:t>Am Klinikum 1, 07747 Jena</w:t>
      </w:r>
    </w:p>
    <w:p>
      <w:pPr>
        <w:spacing w:before="120" w:after="60" w:line="259" w:lineRule="auto"/>
        <w:jc w:val="left"/>
      </w:pPr>
      <w:r>
        <w:rPr>
          <w:rFonts w:ascii="Times New Roman" w:hAnsi="Times New Roman"/>
          <w:b/>
          <w:sz w:val="22"/>
        </w:rPr>
        <w:t>in Abstimmung mit der Klinikapotheke</w:t>
      </w:r>
    </w:p>
    <w:p>
      <w:pPr>
        <w:spacing w:before="120" w:after="60" w:line="259" w:lineRule="auto"/>
        <w:jc w:val="left"/>
      </w:pPr>
      <w:r>
        <w:rPr>
          <w:rFonts w:ascii="Times New Roman" w:hAnsi="Times New Roman"/>
          <w:b/>
          <w:sz w:val="22"/>
        </w:rPr>
        <w:t>Patientin: Samira Wehner, geboren am 19.08.2008</w:t>
      </w:r>
    </w:p>
    <w:p>
      <w:pPr>
        <w:spacing w:before="120" w:after="60" w:line="259" w:lineRule="auto"/>
        <w:jc w:val="left"/>
      </w:pPr>
      <w:r>
        <w:rPr>
          <w:rFonts w:ascii="Times New Roman" w:hAnsi="Times New Roman"/>
          <w:b/>
          <w:sz w:val="22"/>
        </w:rPr>
        <w:t>Körpergewicht am 20.06.2026: 54 kg</w:t>
      </w:r>
    </w:p>
    <w:p>
      <w:pPr>
        <w:spacing w:line="259" w:lineRule="auto" w:after="60"/>
        <w:jc w:val="left"/>
      </w:pPr>
      <w:r>
        <w:t>Erstellt am: 26.06.2026 auf Anforderung der Familie zur Vorlage bei Krankenkasse und Gericht</w:t>
      </w:r>
    </w:p>
    <w:p>
      <w:pPr>
        <w:pStyle w:val="Heading2"/>
        <w:spacing w:line="259" w:lineRule="auto" w:after="60"/>
      </w:pPr>
      <w:r>
        <w:rPr>
          <w:rFonts w:ascii="Times New Roman" w:hAnsi="Times New Roman"/>
        </w:rPr>
        <w:t>Therapieziel</w:t>
      </w:r>
    </w:p>
    <w:p>
      <w:pPr>
        <w:spacing w:line="259" w:lineRule="auto" w:after="60"/>
        <w:jc w:val="left"/>
      </w:pPr>
      <w:r>
        <w:t>Bei Samira liegt eine genetisch bestätigte lysosomale Speichererkrankung mit progredienter neurologischer Beteiligung vor (homozygote Variante c.884G&gt;A im Gen LSN2). Beantragt ist eine Enzymsubstitution mit Velaglucase-Nord. Ziel ist nicht Heilung, sondern die Verlangsamung der neurologischen Progression, der Erhalt des Schulbesuchs und der Feinmotorik sowie die Vermeidung dauerhafter Pflegebedürftigkeit.</w:t>
      </w:r>
    </w:p>
    <w:p>
      <w:pPr>
        <w:pStyle w:val="Heading2"/>
        <w:spacing w:line="259" w:lineRule="auto" w:after="60"/>
      </w:pPr>
      <w:r>
        <w:rPr>
          <w:rFonts w:ascii="Times New Roman" w:hAnsi="Times New Roman"/>
        </w:rPr>
        <w:t>Behandlungsplan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Woche</w:t>
            </w:r>
          </w:p>
        </w:tc>
        <w:tc>
          <w:tcPr>
            <w:tcW w:type="dxa" w:w="2268"/>
          </w:tcPr>
          <w:p>
            <w:r>
              <w:rPr>
                <w:rFonts w:ascii="Times New Roman" w:hAnsi="Times New Roman"/>
                <w:b/>
                <w:sz w:val="20"/>
              </w:rPr>
              <w:t>Maßnahme</w:t>
            </w:r>
          </w:p>
        </w:tc>
        <w:tc>
          <w:tcPr>
            <w:tcW w:type="dxa" w:w="2268"/>
          </w:tcPr>
          <w:p>
            <w:r>
              <w:rPr>
                <w:rFonts w:ascii="Times New Roman" w:hAnsi="Times New Roman"/>
                <w:b/>
                <w:sz w:val="20"/>
              </w:rPr>
              <w:t>Ort</w:t>
            </w:r>
          </w:p>
        </w:tc>
        <w:tc>
          <w:tcPr>
            <w:tcW w:type="dxa" w:w="2268"/>
          </w:tcPr>
          <w:p>
            <w:r>
              <w:rPr>
                <w:rFonts w:ascii="Times New Roman" w:hAnsi="Times New Roman"/>
                <w:b/>
                <w:sz w:val="20"/>
              </w:rPr>
              <w:t>Bemerkung</w:t>
            </w:r>
          </w:p>
        </w:tc>
      </w:tr>
      <w:tr>
        <w:tc>
          <w:tcPr>
            <w:tcW w:type="dxa" w:w="2268"/>
          </w:tcPr>
          <w:p>
            <w:r>
              <w:rPr>
                <w:rFonts w:ascii="Times New Roman" w:hAnsi="Times New Roman"/>
                <w:sz w:val="20"/>
              </w:rPr>
              <w:t>32/2026</w:t>
            </w:r>
          </w:p>
        </w:tc>
        <w:tc>
          <w:tcPr>
            <w:tcW w:type="dxa" w:w="2268"/>
          </w:tcPr>
          <w:p>
            <w:r>
              <w:rPr>
                <w:rFonts w:ascii="Times New Roman" w:hAnsi="Times New Roman"/>
                <w:sz w:val="20"/>
              </w:rPr>
              <w:t>Aufklärung, Labor, Antikörperstatus, Baseline-Testung (Gangtest, Nine-Hole-Peg-Test)</w:t>
            </w:r>
          </w:p>
        </w:tc>
        <w:tc>
          <w:tcPr>
            <w:tcW w:type="dxa" w:w="2268"/>
          </w:tcPr>
          <w:p>
            <w:r>
              <w:rPr>
                <w:rFonts w:ascii="Times New Roman" w:hAnsi="Times New Roman"/>
                <w:sz w:val="20"/>
              </w:rPr>
              <w:t>Spezialambulanz</w:t>
            </w:r>
          </w:p>
        </w:tc>
        <w:tc>
          <w:tcPr>
            <w:tcW w:type="dxa" w:w="2268"/>
          </w:tcPr>
          <w:p>
            <w:r>
              <w:rPr>
                <w:rFonts w:ascii="Times New Roman" w:hAnsi="Times New Roman"/>
                <w:sz w:val="20"/>
              </w:rPr>
              <w:t>vor erster Gabe</w:t>
            </w:r>
          </w:p>
        </w:tc>
      </w:tr>
      <w:tr>
        <w:tc>
          <w:tcPr>
            <w:tcW w:type="dxa" w:w="2268"/>
          </w:tcPr>
          <w:p>
            <w:r>
              <w:rPr>
                <w:rFonts w:ascii="Times New Roman" w:hAnsi="Times New Roman"/>
                <w:sz w:val="20"/>
              </w:rPr>
              <w:t>33/2026</w:t>
            </w:r>
          </w:p>
        </w:tc>
        <w:tc>
          <w:tcPr>
            <w:tcW w:type="dxa" w:w="2268"/>
          </w:tcPr>
          <w:p>
            <w:r>
              <w:rPr>
                <w:rFonts w:ascii="Times New Roman" w:hAnsi="Times New Roman"/>
                <w:sz w:val="20"/>
              </w:rPr>
              <w:t>erste Infusion, vier Stunden Monitoring</w:t>
            </w:r>
          </w:p>
        </w:tc>
        <w:tc>
          <w:tcPr>
            <w:tcW w:type="dxa" w:w="2268"/>
          </w:tcPr>
          <w:p>
            <w:r>
              <w:rPr>
                <w:rFonts w:ascii="Times New Roman" w:hAnsi="Times New Roman"/>
                <w:sz w:val="20"/>
              </w:rPr>
              <w:t>Tagesklinik</w:t>
            </w:r>
          </w:p>
        </w:tc>
        <w:tc>
          <w:tcPr>
            <w:tcW w:type="dxa" w:w="2268"/>
          </w:tcPr>
          <w:p>
            <w:r>
              <w:rPr>
                <w:rFonts w:ascii="Times New Roman" w:hAnsi="Times New Roman"/>
                <w:sz w:val="20"/>
              </w:rPr>
              <w:t>Notfallbereitschaft</w:t>
            </w:r>
          </w:p>
        </w:tc>
      </w:tr>
      <w:tr>
        <w:tc>
          <w:tcPr>
            <w:tcW w:type="dxa" w:w="2268"/>
          </w:tcPr>
          <w:p>
            <w:r>
              <w:rPr>
                <w:rFonts w:ascii="Times New Roman" w:hAnsi="Times New Roman"/>
                <w:sz w:val="20"/>
              </w:rPr>
              <w:t>ab 35/2026</w:t>
            </w:r>
          </w:p>
        </w:tc>
        <w:tc>
          <w:tcPr>
            <w:tcW w:type="dxa" w:w="2268"/>
          </w:tcPr>
          <w:p>
            <w:r>
              <w:rPr>
                <w:rFonts w:ascii="Times New Roman" w:hAnsi="Times New Roman"/>
                <w:sz w:val="20"/>
              </w:rPr>
              <w:t>Infusion alle 14 Tage</w:t>
            </w:r>
          </w:p>
        </w:tc>
        <w:tc>
          <w:tcPr>
            <w:tcW w:type="dxa" w:w="2268"/>
          </w:tcPr>
          <w:p>
            <w:r>
              <w:rPr>
                <w:rFonts w:ascii="Times New Roman" w:hAnsi="Times New Roman"/>
                <w:sz w:val="20"/>
              </w:rPr>
              <w:t>Tagesklinik</w:t>
            </w:r>
          </w:p>
        </w:tc>
        <w:tc>
          <w:tcPr>
            <w:tcW w:type="dxa" w:w="2268"/>
          </w:tcPr>
          <w:p>
            <w:r>
              <w:rPr>
                <w:rFonts w:ascii="Times New Roman" w:hAnsi="Times New Roman"/>
                <w:sz w:val="20"/>
              </w:rPr>
              <w:t>Dosis gewichtsadaptiert</w:t>
            </w:r>
          </w:p>
        </w:tc>
      </w:tr>
      <w:tr>
        <w:tc>
          <w:tcPr>
            <w:tcW w:type="dxa" w:w="2268"/>
          </w:tcPr>
          <w:p>
            <w:r>
              <w:rPr>
                <w:rFonts w:ascii="Times New Roman" w:hAnsi="Times New Roman"/>
                <w:sz w:val="20"/>
              </w:rPr>
              <w:t>41/2026</w:t>
            </w:r>
          </w:p>
        </w:tc>
        <w:tc>
          <w:tcPr>
            <w:tcW w:type="dxa" w:w="2268"/>
          </w:tcPr>
          <w:p>
            <w:r>
              <w:rPr>
                <w:rFonts w:ascii="Times New Roman" w:hAnsi="Times New Roman"/>
                <w:sz w:val="20"/>
              </w:rPr>
              <w:t>erste Zwischenauswertung</w:t>
            </w:r>
          </w:p>
        </w:tc>
        <w:tc>
          <w:tcPr>
            <w:tcW w:type="dxa" w:w="2268"/>
          </w:tcPr>
          <w:p>
            <w:r>
              <w:rPr>
                <w:rFonts w:ascii="Times New Roman" w:hAnsi="Times New Roman"/>
                <w:sz w:val="20"/>
              </w:rPr>
              <w:t>Spezialambulanz</w:t>
            </w:r>
          </w:p>
        </w:tc>
        <w:tc>
          <w:tcPr>
            <w:tcW w:type="dxa" w:w="2268"/>
          </w:tcPr>
          <w:p>
            <w:r>
              <w:rPr>
                <w:rFonts w:ascii="Times New Roman" w:hAnsi="Times New Roman"/>
                <w:sz w:val="20"/>
              </w:rPr>
              <w:t>Verlaufsparameter</w:t>
            </w:r>
          </w:p>
        </w:tc>
      </w:tr>
      <w:tr>
        <w:tc>
          <w:tcPr>
            <w:tcW w:type="dxa" w:w="2268"/>
          </w:tcPr>
          <w:p>
            <w:r>
              <w:rPr>
                <w:rFonts w:ascii="Times New Roman" w:hAnsi="Times New Roman"/>
                <w:sz w:val="20"/>
              </w:rPr>
              <w:t>06/2027</w:t>
            </w:r>
          </w:p>
        </w:tc>
        <w:tc>
          <w:tcPr>
            <w:tcW w:type="dxa" w:w="2268"/>
          </w:tcPr>
          <w:p>
            <w:r>
              <w:rPr>
                <w:rFonts w:ascii="Times New Roman" w:hAnsi="Times New Roman"/>
                <w:sz w:val="20"/>
              </w:rPr>
              <w:t>Gesamtauswertung nach sechs Monaten</w:t>
            </w:r>
          </w:p>
        </w:tc>
        <w:tc>
          <w:tcPr>
            <w:tcW w:type="dxa" w:w="2268"/>
          </w:tcPr>
          <w:p>
            <w:r>
              <w:rPr>
                <w:rFonts w:ascii="Times New Roman" w:hAnsi="Times New Roman"/>
                <w:sz w:val="20"/>
              </w:rPr>
              <w:t>Spezialambulanz</w:t>
            </w:r>
          </w:p>
        </w:tc>
        <w:tc>
          <w:tcPr>
            <w:tcW w:type="dxa" w:w="2268"/>
          </w:tcPr>
          <w:p>
            <w:r>
              <w:rPr>
                <w:rFonts w:ascii="Times New Roman" w:hAnsi="Times New Roman"/>
                <w:sz w:val="20"/>
              </w:rPr>
              <w:t>Fortsetzung nur bei Stabilisierung</w:t>
            </w:r>
          </w:p>
        </w:tc>
      </w:tr>
    </w:tbl>
    <w:p>
      <w:pPr>
        <w:pStyle w:val="Heading2"/>
        <w:spacing w:line="259" w:lineRule="auto" w:after="60"/>
      </w:pPr>
      <w:r>
        <w:rPr>
          <w:rFonts w:ascii="Times New Roman" w:hAnsi="Times New Roman"/>
        </w:rPr>
        <w:t>Kosten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Position</w:t>
            </w:r>
          </w:p>
        </w:tc>
        <w:tc>
          <w:tcPr>
            <w:tcW w:type="dxa" w:w="3024"/>
          </w:tcPr>
          <w:p>
            <w:r>
              <w:rPr>
                <w:rFonts w:ascii="Times New Roman" w:hAnsi="Times New Roman"/>
                <w:b/>
                <w:sz w:val="20"/>
              </w:rPr>
              <w:t>Intervall</w:t>
            </w:r>
          </w:p>
        </w:tc>
        <w:tc>
          <w:tcPr>
            <w:tcW w:type="dxa" w:w="3024"/>
          </w:tcPr>
          <w:p>
            <w:r>
              <w:rPr>
                <w:rFonts w:ascii="Times New Roman" w:hAnsi="Times New Roman"/>
                <w:b/>
                <w:sz w:val="20"/>
              </w:rPr>
              <w:t>Betrag</w:t>
            </w:r>
          </w:p>
        </w:tc>
      </w:tr>
      <w:tr>
        <w:tc>
          <w:tcPr>
            <w:tcW w:type="dxa" w:w="3024"/>
          </w:tcPr>
          <w:p>
            <w:r>
              <w:rPr>
                <w:rFonts w:ascii="Times New Roman" w:hAnsi="Times New Roman"/>
                <w:sz w:val="20"/>
              </w:rPr>
              <w:t>Velaglucase-Nord, gewichtsadaptierte Dosis</w:t>
            </w:r>
          </w:p>
        </w:tc>
        <w:tc>
          <w:tcPr>
            <w:tcW w:type="dxa" w:w="3024"/>
          </w:tcPr>
          <w:p>
            <w:r>
              <w:rPr>
                <w:rFonts w:ascii="Times New Roman" w:hAnsi="Times New Roman"/>
                <w:sz w:val="20"/>
              </w:rPr>
              <w:t>je Infusion (alle 14 Tage)</w:t>
            </w:r>
          </w:p>
        </w:tc>
        <w:tc>
          <w:tcPr>
            <w:tcW w:type="dxa" w:w="3024"/>
          </w:tcPr>
          <w:p>
            <w:r>
              <w:rPr>
                <w:rFonts w:ascii="Times New Roman" w:hAnsi="Times New Roman"/>
                <w:sz w:val="20"/>
              </w:rPr>
              <w:t>39.610,00 EUR</w:t>
            </w:r>
          </w:p>
        </w:tc>
      </w:tr>
      <w:tr>
        <w:tc>
          <w:tcPr>
            <w:tcW w:type="dxa" w:w="3024"/>
          </w:tcPr>
          <w:p>
            <w:r>
              <w:rPr>
                <w:rFonts w:ascii="Times New Roman" w:hAnsi="Times New Roman"/>
                <w:sz w:val="20"/>
              </w:rPr>
              <w:t>Infusionsmaterial, Aufbereitung und Überwachung</w:t>
            </w:r>
          </w:p>
        </w:tc>
        <w:tc>
          <w:tcPr>
            <w:tcW w:type="dxa" w:w="3024"/>
          </w:tcPr>
          <w:p>
            <w:r>
              <w:rPr>
                <w:rFonts w:ascii="Times New Roman" w:hAnsi="Times New Roman"/>
                <w:sz w:val="20"/>
              </w:rPr>
              <w:t>je Infusion</w:t>
            </w:r>
          </w:p>
        </w:tc>
        <w:tc>
          <w:tcPr>
            <w:tcW w:type="dxa" w:w="3024"/>
          </w:tcPr>
          <w:p>
            <w:r>
              <w:rPr>
                <w:rFonts w:ascii="Times New Roman" w:hAnsi="Times New Roman"/>
                <w:sz w:val="20"/>
              </w:rPr>
              <w:t>890,00 EUR</w:t>
            </w:r>
          </w:p>
        </w:tc>
      </w:tr>
      <w:tr>
        <w:tc>
          <w:tcPr>
            <w:tcW w:type="dxa" w:w="3024"/>
          </w:tcPr>
          <w:p>
            <w:r>
              <w:rPr>
                <w:rFonts w:ascii="Times New Roman" w:hAnsi="Times New Roman"/>
                <w:sz w:val="20"/>
              </w:rPr>
              <w:t>Labor, Antikörperkontrolle, Verlaufstestung</w:t>
            </w:r>
          </w:p>
        </w:tc>
        <w:tc>
          <w:tcPr>
            <w:tcW w:type="dxa" w:w="3024"/>
          </w:tcPr>
          <w:p>
            <w:r>
              <w:rPr>
                <w:rFonts w:ascii="Times New Roman" w:hAnsi="Times New Roman"/>
                <w:sz w:val="20"/>
              </w:rPr>
              <w:t>monatlich anteilig</w:t>
            </w:r>
          </w:p>
        </w:tc>
        <w:tc>
          <w:tcPr>
            <w:tcW w:type="dxa" w:w="3024"/>
          </w:tcPr>
          <w:p>
            <w:r>
              <w:rPr>
                <w:rFonts w:ascii="Times New Roman" w:hAnsi="Times New Roman"/>
                <w:sz w:val="20"/>
              </w:rPr>
              <w:t>umgerechnet je Infusion 250,00 EUR früher fällig</w:t>
            </w:r>
          </w:p>
        </w:tc>
      </w:tr>
    </w:tbl>
    <w:p>
      <w:pPr>
        <w:spacing w:line="259" w:lineRule="auto" w:after="60"/>
        <w:jc w:val="left"/>
      </w:pPr>
      <w:r>
        <w:t>Je Infusionstermin ergeben sich 40.750,00 EUR; bei zwei Terminen im Monat kalkulieren wir gerundet 81.000,00 EUR monatlich und für den beantragten sechsmonatigen Therapieversuch 486.000,00 EUR. Bei Gewichtszunahme kann der Betrag steigen.</w:t>
      </w:r>
    </w:p>
    <w:p>
      <w:pPr>
        <w:pStyle w:val="Heading2"/>
        <w:spacing w:line="259" w:lineRule="auto" w:after="60"/>
      </w:pPr>
      <w:r>
        <w:rPr>
          <w:rFonts w:ascii="Times New Roman" w:hAnsi="Times New Roman"/>
        </w:rPr>
        <w:t>Abbruch- und Fortsetzungskriterien</w:t>
      </w:r>
    </w:p>
    <w:p>
      <w:pPr>
        <w:spacing w:line="259" w:lineRule="auto" w:after="60"/>
        <w:jc w:val="left"/>
      </w:pPr>
      <w:r>
        <w:t>Die Ambulanz schlägt vor, die Fortsetzung nach sechs Monaten von folgenden Parametern abhängig zu machen: Gangtest, Nine-Hole-Peg-Test, Schultage pro Woche, dokumentierte Schmerzepisoden, MRT-Verlauf. Bei Verschlechterung trotz Therapie in zwei aufeinanderfolgenden Auswertungen wird der Abbruch empfohlen.</w:t>
      </w:r>
    </w:p>
    <w:p>
      <w:pPr>
        <w:pStyle w:val="Heading2"/>
        <w:spacing w:line="259" w:lineRule="auto" w:after="60"/>
      </w:pPr>
      <w:r>
        <w:rPr>
          <w:rFonts w:ascii="Times New Roman" w:hAnsi="Times New Roman"/>
        </w:rPr>
        <w:t>Hinweis der Ambulanz</w:t>
      </w:r>
    </w:p>
    <w:p>
      <w:pPr>
        <w:spacing w:line="259" w:lineRule="auto" w:after="60"/>
        <w:jc w:val="left"/>
      </w:pPr>
      <w:r>
        <w:t>Seit März 2026 verschlechtern sich Feinmotorik und Gangsicherheit messbar (Nine-Hole-Peg-Test rechts von 26,1 auf 34,8 Sekunden). Die Ambulanz weist darauf hin, dass eine spätere Genehmigung den bis dahin eingetretenen Funktionsverlust nach aller Erfahrung nicht sicher aufholt. Der Hersteller bestätigt eine Lieferzeit von zehn Werktagen ab Bestellung; für einen Therapiebeginn Anfang August 2026 muss die Kostenfrage bis Mitte Juli geklärt sein.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