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pPr>
      <w:r>
        <w:rPr>
          <w:rFonts w:ascii="Times New Roman" w:hAnsi="Times New Roman"/>
          <w:b/>
          <w:color w:val="1F3C54"/>
          <w:sz w:val="28"/>
        </w:rPr>
        <w:t>Universitätsklinikum Münster · Sarkomzentrum</w:t>
      </w:r>
    </w:p>
    <w:p>
      <w:pPr>
        <w:spacing w:after="60" w:before="120" w:line="259" w:lineRule="auto"/>
      </w:pPr>
      <w:r>
        <w:rPr>
          <w:rFonts w:ascii="Times New Roman" w:hAnsi="Times New Roman"/>
          <w:b/>
          <w:sz w:val="22"/>
        </w:rPr>
        <w:t>Albert-Schweitzer-Campus 1, 48149 Münster · Tumorboard Sarkome</w:t>
      </w:r>
    </w:p>
    <w:p>
      <w:pPr>
        <w:spacing w:line="259" w:lineRule="auto" w:after="60"/>
      </w:pPr>
      <w:r>
        <w:rPr>
          <w:color w:val="555555"/>
          <w:sz w:val="18"/>
        </w:rPr>
        <w:t>Protokollauszug Sitzung 29. Mai 2026 · Patient: Gregor Lütke · Fallnummer UKM-2026-448517</w:t>
      </w:r>
    </w:p>
    <w:p>
      <w:pPr>
        <w:spacing w:line="259" w:lineRule="auto" w:after="60"/>
      </w:pPr>
    </w:p>
    <w:p>
      <w:pPr>
        <w:pStyle w:val="Heading1"/>
        <w:spacing w:before="120" w:after="60" w:line="259" w:lineRule="auto"/>
      </w:pPr>
      <w:r>
        <w:rPr>
          <w:rFonts w:ascii="Times New Roman" w:hAnsi="Times New Roman"/>
          <w:b/>
          <w:sz w:val="22"/>
        </w:rPr>
        <w:t>Tumorboard-Protokoll und Nutzenblatt</w:t>
      </w:r>
    </w:p>
    <w:p>
      <w:pPr>
        <w:spacing w:line="259" w:lineRule="auto" w:after="60"/>
      </w:pPr>
      <w:r>
        <w:rPr>
          <w:b/>
        </w:rPr>
        <w:t>Betreff: Empfehlung zur individuellen Therapie mit dem nicht regelhaft zugelassenen Wirkstoff Telvuranib-L.</w:t>
      </w:r>
    </w:p>
    <w:p>
      <w:pPr>
        <w:spacing w:line="259" w:lineRule="auto" w:after="60"/>
      </w:pPr>
      <w:r>
        <w:t>Das Tumorboard hat den Fall nach Vorstellung durch Prof. Dr. Mira Ebbinghaus beraten. Grundlage waren Bildgebung vom 22. Mai 2026, Pathologie-Update, molekulargenetischer Befund und die dokumentierten Vortherapien.</w:t>
      </w:r>
    </w:p>
    <w:p>
      <w:pPr>
        <w:pStyle w:val="Heading2"/>
        <w:spacing w:before="120" w:after="60" w:line="259" w:lineRule="auto"/>
      </w:pPr>
      <w:r>
        <w:rPr>
          <w:rFonts w:ascii="Times New Roman" w:hAnsi="Times New Roman"/>
          <w:b/>
          <w:sz w:val="22"/>
        </w:rPr>
        <w:t>Medizinische Ausgangslage</w:t>
      </w:r>
    </w:p>
    <w:p>
      <w:pPr>
        <w:spacing w:line="259" w:lineRule="auto" w:after="60"/>
      </w:pPr>
      <w:r>
        <w:t>Bei Herrn Lütke liegt ein metastasiertes Weichteilsarkom mit rascher Progression unter Standardtherapie vor. Die zugelassenen Behandlungsoptionen sind nach Einschätzung der Fachdisziplinen ausgeschöpft oder wegen Toxizität nicht mehr vertretbar.</w:t>
      </w:r>
    </w:p>
    <w:p>
      <w:pPr>
        <w:pStyle w:val="Heading2"/>
        <w:spacing w:line="259" w:lineRule="auto" w:after="60"/>
      </w:pPr>
      <w:r>
        <w:t>Nutzenannahme</w:t>
      </w:r>
    </w:p>
    <w:p>
      <w:pPr>
        <w:spacing w:line="259" w:lineRule="auto" w:after="60"/>
      </w:pPr>
      <w:r>
        <w:t>Die molekulare Konstellation passt zu der Subgruppe, in der Telvuranib-L in den vorliegenden Daten eine relevante Krankheitskontrolle gezeigt hat. Das Board bewertet die Therapie nicht als kurativ, aber als realistische Chance auf deutliche Verlängerung stabiler Lebenszeit bei erhaltener häuslicher Versorgung.</w:t>
      </w:r>
    </w:p>
    <w:p>
      <w:pPr>
        <w:pStyle w:val="Heading2"/>
        <w:spacing w:line="259" w:lineRule="auto" w:after="60"/>
      </w:pPr>
      <w:r>
        <w:t>Beschluss</w:t>
      </w:r>
    </w:p>
    <w:p>
      <w:pPr>
        <w:spacing w:line="259" w:lineRule="auto" w:after="60"/>
      </w:pPr>
      <w:r>
        <w:t>Das Tumorboard empfiehlt einen individuellen Therapieversuch für zunächst zwei Zyklen mit engmaschiger Verlaufskontrolle. Die Klinik hält eine Kostenübernahmeentscheidung vor Behandlungsbeginn für medizinisch dringlich, weil ein weiteres Abwarten die Einschlussfähigkeit faktisch entfallen lassen kann.</w:t>
      </w:r>
    </w:p>
    <w:sectPr w:rsidR="00FC693F" w:rsidRPr="0006063C" w:rsidSect="00034616">
      <w:footerReference w:type="default" r:id="rId9"/>
      <w:headerReference w:type="default" r:id="rId10"/>
      <w:pgSz w:w="12240" w:h="15840"/>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Tumorboard-Auszug UKM Lütke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Arial"/>
      <w:b/>
      <w:bCs/>
      <w:color w:val="1F3C5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Arial"/>
      <w:b/>
      <w:bCs/>
      <w:color w:val="1F3C5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