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Stellungnahme des Medizinischen Dienstes</w:t>
      </w:r>
    </w:p>
    <w:p>
      <w:pPr>
        <w:spacing w:before="120" w:after="60" w:line="259" w:lineRule="auto"/>
        <w:jc w:val="left"/>
      </w:pPr>
      <w:r>
        <w:rPr>
          <w:rFonts w:ascii="Times New Roman" w:hAnsi="Times New Roman"/>
          <w:b/>
          <w:sz w:val="22"/>
        </w:rPr>
        <w:t>Medizinischer Dienst Westfalen-Lippe</w:t>
      </w:r>
    </w:p>
    <w:p>
      <w:pPr>
        <w:spacing w:before="120" w:after="60" w:line="259" w:lineRule="auto"/>
        <w:jc w:val="left"/>
      </w:pPr>
      <w:r>
        <w:rPr>
          <w:rFonts w:ascii="Times New Roman" w:hAnsi="Times New Roman"/>
          <w:b/>
          <w:sz w:val="22"/>
        </w:rPr>
        <w:t>Gutachtenzentrum Münster</w:t>
      </w:r>
    </w:p>
    <w:p>
      <w:pPr>
        <w:spacing w:before="120" w:after="60" w:line="259" w:lineRule="auto"/>
        <w:jc w:val="left"/>
      </w:pPr>
      <w:r>
        <w:rPr>
          <w:rFonts w:ascii="Times New Roman" w:hAnsi="Times New Roman"/>
          <w:b/>
          <w:sz w:val="22"/>
        </w:rPr>
        <w:t>Roddestraße 12, 48153 Münster</w:t>
      </w:r>
    </w:p>
    <w:p>
      <w:pPr>
        <w:spacing w:before="120" w:after="60" w:line="259" w:lineRule="auto"/>
        <w:jc w:val="left"/>
      </w:pPr>
      <w:r>
        <w:rPr>
          <w:rFonts w:ascii="Times New Roman" w:hAnsi="Times New Roman"/>
          <w:b/>
          <w:sz w:val="22"/>
        </w:rPr>
        <w:t>Gutachter: Dr. med. Peter Niermann, Facharzt für Innere Medizin, Sozialmedizin</w:t>
      </w:r>
    </w:p>
    <w:p>
      <w:pPr>
        <w:spacing w:before="120" w:after="60" w:line="259" w:lineRule="auto"/>
        <w:jc w:val="left"/>
      </w:pPr>
      <w:r>
        <w:rPr>
          <w:rFonts w:ascii="Times New Roman" w:hAnsi="Times New Roman"/>
          <w:b/>
          <w:sz w:val="22"/>
        </w:rPr>
        <w:t>Vorgangsnummer: MD-WL-MS-2026-58207</w:t>
      </w:r>
    </w:p>
    <w:p>
      <w:pPr>
        <w:spacing w:before="120" w:after="60" w:line="259" w:lineRule="auto"/>
        <w:jc w:val="left"/>
      </w:pPr>
      <w:r>
        <w:rPr>
          <w:rFonts w:ascii="Times New Roman" w:hAnsi="Times New Roman"/>
          <w:b/>
          <w:sz w:val="22"/>
        </w:rPr>
        <w:t>Gutachtliche Stellungnahme nach Aktenlage vom 17.06.2026</w:t>
      </w:r>
    </w:p>
    <w:p>
      <w:pPr>
        <w:pStyle w:val="Heading2"/>
        <w:spacing w:before="120" w:after="60" w:line="259" w:lineRule="auto"/>
      </w:pPr>
      <w:r>
        <w:rPr>
          <w:rFonts w:ascii="Times New Roman" w:hAnsi="Times New Roman"/>
          <w:b/>
          <w:sz w:val="22"/>
        </w:rPr>
        <w:t>Auftrag</w:t>
      </w:r>
    </w:p>
    <w:p>
      <w:pPr>
        <w:spacing w:line="259" w:lineRule="auto" w:after="60"/>
        <w:jc w:val="left"/>
      </w:pPr>
      <w:r>
        <w:t>Auftrag der Vitalis BKK vom 09.06.2026: Prüfung der beantragten Kostenübernahme für Lunazimerab bei metastasiertem alveolärem Weichteilsarkom; Versicherter Gregor Lütke, geboren am 22.11.1979.</w:t>
      </w:r>
    </w:p>
    <w:p>
      <w:pPr>
        <w:pStyle w:val="Heading2"/>
        <w:spacing w:line="259" w:lineRule="auto" w:after="60"/>
      </w:pPr>
      <w:r>
        <w:rPr>
          <w:rFonts w:ascii="Times New Roman" w:hAnsi="Times New Roman"/>
        </w:rPr>
        <w:t>Vorliegende Unterlagen</w:t>
      </w:r>
    </w:p>
    <w:p>
      <w:pPr>
        <w:spacing w:line="259" w:lineRule="auto" w:after="60"/>
        <w:jc w:val="left"/>
      </w:pPr>
      <w:r>
        <w:t>Antrag der Universitätsklinik Münster vom 04.06.2026 mit Verlaufstabelle, Tumorboardprotokoll vom 29.05.2026, Nutzenblatt der Klinik, immunhistochemischer Befund zur Zielstruktur LZ-4, Publikationsliste zur Studie LUNA-SAR-02. Eine persönliche Untersuchung des Versicherten fand nicht statt.</w:t>
      </w:r>
    </w:p>
    <w:p>
      <w:pPr>
        <w:pStyle w:val="Heading2"/>
        <w:spacing w:line="259" w:lineRule="auto" w:after="60"/>
      </w:pPr>
      <w:r>
        <w:rPr>
          <w:rFonts w:ascii="Times New Roman" w:hAnsi="Times New Roman"/>
        </w:rPr>
        <w:t>Zusammenfassung</w:t>
      </w:r>
    </w:p>
    <w:p>
      <w:pPr>
        <w:spacing w:line="259" w:lineRule="auto" w:after="60"/>
        <w:jc w:val="left"/>
      </w:pPr>
      <w:r>
        <w:t>Beim Versicherten liegt eine schwerwiegende onkologische Erkrankung vor. Die bisherigen leitliniengerechten Therapien sind ausgeschöpft. Gleichwohl kann die beantragte Arzneimitteltherapie aus sozialmedizinischer Sicht nicht empfohlen werden.</w:t>
      </w:r>
    </w:p>
    <w:p>
      <w:pPr>
        <w:pStyle w:val="Heading2"/>
        <w:spacing w:line="259" w:lineRule="auto" w:after="60"/>
      </w:pPr>
      <w:r>
        <w:rPr>
          <w:rFonts w:ascii="Times New Roman" w:hAnsi="Times New Roman"/>
        </w:rPr>
        <w:t>Begründung</w:t>
      </w:r>
    </w:p>
    <w:p>
      <w:pPr>
        <w:spacing w:line="259" w:lineRule="auto" w:after="60"/>
        <w:jc w:val="left"/>
      </w:pPr>
      <w:r>
        <w:t>Die vorgelegten Unterlagen belegen eine Orphan-Drug-Zulassung für eine andere Tumorentität, aber keine abgeschlossene Nutzenbewertung mit tragfähiger Aussage zur zweckmäßigen Vergleichstherapie für die hier vorliegende Erkrankung. Die Klinik verweist auf Phase-II-Daten und Registerdaten. Diese Daten sind hypothesengenerierend und erlauben keine belastbare Aussage, dass beim Versicherten eine Verlängerung der krankheitskontrollierten Zeit um 18 bis 24 Monate zu erwarten ist. Die Subgruppe mit hoher LZ-4-Expression umfasst in der Studie zwölf Patienten.</w:t>
      </w:r>
    </w:p>
    <w:p>
      <w:pPr>
        <w:spacing w:line="259" w:lineRule="auto" w:after="60"/>
        <w:jc w:val="left"/>
      </w:pPr>
      <w:r>
        <w:t>Best Supportive Care ist möglich; eine Studienteilnahme (Phase-I-Studie in Hamburg, Einschluss nach den Unterlagen frühestens im September) ist nicht ausgeschlossen. Die Kosten von etwa 500.000 EUR je Dosis stehen in einem besonders auffälligen Verhältnis zur unsicheren Nutzenlage. Eine Leistungspflicht der gesetzlichen Krankenversicherung kann aus den vorgelegten Unterlagen nicht abgeleitet werden.</w:t>
      </w:r>
    </w:p>
    <w:p>
      <w:pPr>
        <w:pStyle w:val="Heading2"/>
        <w:spacing w:line="259" w:lineRule="auto" w:after="60"/>
      </w:pPr>
      <w:r>
        <w:rPr>
          <w:rFonts w:ascii="Times New Roman" w:hAnsi="Times New Roman"/>
        </w:rPr>
        <w:t>Empfehlung</w:t>
      </w:r>
    </w:p>
    <w:p>
      <w:pPr>
        <w:spacing w:line="259" w:lineRule="auto" w:after="60"/>
        <w:jc w:val="left"/>
      </w:pPr>
      <w:r>
        <w:t>Ablehnung der Kostenübernahme. Es sollte eine erneute Vorstellung in einer Studienambulanz geprüft werden. Eine palliativmedizinische Mitbehandlung wird empfohlen. Bei wesentlich veränderter Studienlage wird um erneute Vorlage gebeten.</w:t>
      </w:r>
    </w:p>
    <w:p>
      <w:pPr>
        <w:spacing w:line="259" w:lineRule="auto" w:after="60"/>
        <w:jc w:val="left"/>
      </w:pPr>
      <w:r>
        <w:t>gez. Dr. Niermann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