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Widerspruch und Eilantrag</w:t>
      </w:r>
    </w:p>
    <w:p>
      <w:pPr>
        <w:pStyle w:val="Heading2"/>
        <w:spacing w:before="120" w:after="60" w:line="259" w:lineRule="auto"/>
      </w:pPr>
      <w:r>
        <w:rPr>
          <w:rFonts w:ascii="Times New Roman" w:hAnsi="Times New Roman"/>
          <w:b/>
          <w:sz w:val="22"/>
        </w:rPr>
        <w:t>Widerspruch an die Vitalis BKK</w:t>
      </w:r>
    </w:p>
    <w:p>
      <w:pPr>
        <w:spacing w:before="120" w:after="60" w:line="259" w:lineRule="auto"/>
        <w:jc w:val="left"/>
      </w:pPr>
      <w:r>
        <w:rPr>
          <w:rFonts w:ascii="Times New Roman" w:hAnsi="Times New Roman"/>
          <w:b/>
          <w:sz w:val="22"/>
        </w:rPr>
        <w:t>Möllenkamp &amp; Feldhaus Rechtsanwälte</w:t>
      </w:r>
    </w:p>
    <w:p>
      <w:pPr>
        <w:spacing w:before="120" w:after="60" w:line="259" w:lineRule="auto"/>
        <w:jc w:val="left"/>
      </w:pPr>
      <w:r>
        <w:rPr>
          <w:rFonts w:ascii="Times New Roman" w:hAnsi="Times New Roman"/>
          <w:b/>
          <w:sz w:val="22"/>
        </w:rPr>
        <w:t>Windthorststraße 16, 48143 Münster</w:t>
      </w:r>
    </w:p>
    <w:p>
      <w:pPr>
        <w:spacing w:before="120" w:after="60" w:line="259" w:lineRule="auto"/>
        <w:jc w:val="left"/>
      </w:pPr>
      <w:r>
        <w:rPr>
          <w:rFonts w:ascii="Times New Roman" w:hAnsi="Times New Roman"/>
          <w:b/>
          <w:sz w:val="22"/>
        </w:rPr>
        <w:t>Telefon 0251 48 20 63-0</w:t>
      </w:r>
    </w:p>
    <w:p>
      <w:pPr>
        <w:spacing w:line="259" w:lineRule="auto" w:after="60"/>
        <w:jc w:val="left"/>
      </w:pPr>
      <w:r>
        <w:t>Rechtsanwalt Dr. Jonas Möllenkamp, Fachanwalt für Sozialrecht und Fachanwalt für Medizinrecht</w:t>
      </w:r>
    </w:p>
    <w:p>
      <w:pPr>
        <w:spacing w:before="120" w:after="60" w:line="259" w:lineRule="auto"/>
        <w:jc w:val="left"/>
      </w:pPr>
      <w:r>
        <w:rPr>
          <w:rFonts w:ascii="Times New Roman" w:hAnsi="Times New Roman"/>
          <w:b/>
          <w:sz w:val="22"/>
        </w:rPr>
        <w:t>An die</w:t>
      </w:r>
    </w:p>
    <w:p>
      <w:pPr>
        <w:spacing w:before="120" w:after="60" w:line="259" w:lineRule="auto"/>
        <w:jc w:val="left"/>
      </w:pPr>
      <w:r>
        <w:rPr>
          <w:rFonts w:ascii="Times New Roman" w:hAnsi="Times New Roman"/>
          <w:b/>
          <w:sz w:val="22"/>
        </w:rPr>
        <w:t>Vitalis BKK</w:t>
      </w:r>
    </w:p>
    <w:p>
      <w:pPr>
        <w:spacing w:line="259" w:lineRule="auto" w:after="60"/>
        <w:jc w:val="left"/>
      </w:pPr>
      <w:r>
        <w:t>Leistungszentrum Arzneimittel</w:t>
      </w:r>
    </w:p>
    <w:p>
      <w:pPr>
        <w:spacing w:line="259" w:lineRule="auto" w:after="60"/>
        <w:jc w:val="left"/>
      </w:pPr>
      <w:r>
        <w:t>Rheinlanddamm 199</w:t>
      </w:r>
    </w:p>
    <w:p>
      <w:pPr>
        <w:spacing w:line="259" w:lineRule="auto" w:after="60"/>
        <w:jc w:val="left"/>
      </w:pPr>
      <w:r>
        <w:t>44139 Dortmund</w:t>
      </w:r>
    </w:p>
    <w:p>
      <w:pPr>
        <w:spacing w:line="259" w:lineRule="auto" w:after="60"/>
        <w:jc w:val="left"/>
      </w:pPr>
      <w:r>
        <w:t>vorab per Telefax</w:t>
      </w:r>
    </w:p>
    <w:p>
      <w:pPr>
        <w:spacing w:line="259" w:lineRule="auto" w:after="60"/>
        <w:jc w:val="left"/>
      </w:pPr>
      <w:r>
        <w:t>Münster, den 29.06.2026</w:t>
      </w:r>
    </w:p>
    <w:p>
      <w:pPr>
        <w:spacing w:line="259" w:lineRule="auto" w:after="60"/>
        <w:jc w:val="left"/>
      </w:pPr>
      <w:r>
        <w:t>Unser Zeichen: 2026-233-LÜ/mö</w:t>
      </w:r>
    </w:p>
    <w:p>
      <w:pPr>
        <w:spacing w:line="259" w:lineRule="auto" w:after="60"/>
        <w:jc w:val="left"/>
      </w:pPr>
      <w:r>
        <w:t>Ihr Aktenzeichen: LZ-AM-2026-07731</w:t>
      </w:r>
    </w:p>
    <w:p>
      <w:pPr>
        <w:spacing w:line="259" w:lineRule="auto" w:after="60"/>
        <w:jc w:val="left"/>
      </w:pPr>
      <w:r>
        <w:rPr>
          <w:b/>
        </w:rPr>
        <w:t>In Sachen Gregor Lütke, geboren am 22.11.1979, Versichertennummer V-338-529-114</w:t>
      </w:r>
    </w:p>
    <w:p>
      <w:pPr>
        <w:spacing w:line="259" w:lineRule="auto" w:after="60"/>
        <w:jc w:val="left"/>
      </w:pPr>
      <w:r>
        <w:t>Sehr geehrte Damen und Herren,</w:t>
      </w:r>
    </w:p>
    <w:p>
      <w:pPr>
        <w:spacing w:line="259" w:lineRule="auto" w:after="60"/>
        <w:jc w:val="left"/>
      </w:pPr>
      <w:r>
        <w:t xml:space="preserve">wir zeigen die Vertretung von Herrn Gregor Lütke an; Vollmacht liegt bei. Namens und in Vollmacht unseres Mandanten legen wir gegen Ihren Bescheid vom 21.06.2026, zugegangen am 24.06.2026, </w:t>
      </w:r>
      <w:r>
        <w:rPr>
          <w:b/>
        </w:rPr>
        <w:t>Widerspruch</w:t>
      </w:r>
      <w:r>
        <w:t xml:space="preserve"> ein.</w:t>
      </w:r>
    </w:p>
    <w:p>
      <w:pPr>
        <w:spacing w:line="259" w:lineRule="auto" w:after="60"/>
        <w:jc w:val="left"/>
      </w:pPr>
      <w:r>
        <w:t>Die Ablehnung würdigt die konkrete medizinische Situation nicht ausreichend. Unser Mandant leidet an einer lebensbedrohlichen, seltenen Tumorerkrankung. Die leitliniengerechten Standardtherapien sind ausgeschöpft; das ergibt sich aus dem Antrag der Universitätsklinik und wird auch vom Medizinischen Dienst nicht in Zweifel gezogen. Die behandelnde Universitätsklinik hat mit der hohen LZ-4-Expression eine individuelle Zielstruktur nachgewiesen und die Therapie im interdisziplinären Tumorboard empfohlen.</w:t>
      </w:r>
    </w:p>
    <w:p>
      <w:pPr>
        <w:spacing w:line="259" w:lineRule="auto" w:after="60"/>
        <w:jc w:val="left"/>
      </w:pPr>
      <w:r>
        <w:t>Die Stellungnahme des Medizinischen Dienstes vom 17.06.2026 beruht allein auf der Aktenlage. Sie setzt sich mit dem molekularen Befund nicht auseinander, bewertet die tatsächliche Reisefähigkeit unseres Mandanten für die als Alternative genannte Studie in Hamburg nicht und verhält sich nicht zu dem konkreten Zeitfenster des auf den 11.07.2026 reservierten Therapiebeginns. Der Verweis auf Best Supportive Care bleibt abstrakt: Es wird nicht dargelegt, welche Lebenszeit und Lebensqualität damit realistischerweise erreichbar wären. Eine persönliche Begutachtung hat nicht stattgefunden.</w:t>
      </w:r>
    </w:p>
    <w:p>
      <w:pPr>
        <w:spacing w:line="259" w:lineRule="auto" w:after="60"/>
        <w:jc w:val="left"/>
      </w:pPr>
      <w:r>
        <w:t>Wir beantragen, den Bescheid vom 21.06.2026 aufzuheben und die Versorgung mit Lunazimerab nach dem Behandlungsplan der Universitätsklinik Münster zu bewilligen, hilfsweise unverzüglich eine persönliche fachonkologische Begutachtung zu veranlassen. Angesichts des Therapiefensters bitten wir um Entscheidung bis zum 03.07.2026; danach werden wir einstweiligen Rechtsschutz in Anspruch nehmen.</w:t>
      </w:r>
    </w:p>
    <w:p>
      <w:pPr>
        <w:spacing w:line="259" w:lineRule="auto" w:after="60"/>
        <w:jc w:val="left"/>
      </w:pPr>
      <w:r>
        <w:t>Dr. Jonas Möllenkamp</w:t>
      </w:r>
    </w:p>
    <w:p>
      <w:pPr>
        <w:spacing w:line="259" w:lineRule="auto" w:after="60"/>
        <w:jc w:val="left"/>
      </w:pPr>
      <w:r>
        <w:t>Rechtsanwalt</w:t>
      </w:r>
    </w:p>
    <w:p>
      <w:pPr>
        <w:pStyle w:val="Heading2"/>
        <w:spacing w:line="259" w:lineRule="auto" w:after="60"/>
      </w:pPr>
      <w:r>
        <w:rPr>
          <w:rFonts w:ascii="Times New Roman" w:hAnsi="Times New Roman"/>
        </w:rPr>
        <w:t>Entwurf Eilantrag Sozialgericht Münster</w:t>
      </w:r>
    </w:p>
    <w:p>
      <w:pPr>
        <w:spacing w:line="259" w:lineRule="auto" w:after="60"/>
        <w:jc w:val="left"/>
      </w:pPr>
      <w:r>
        <w:t>Entwurf vom 30.06.2026, Az. 2026-233-LÜ/mö — Einreichung per beA, sobald die Kasse nicht bis zum 03.07.2026 abhilft</w:t>
      </w:r>
    </w:p>
    <w:p>
      <w:pPr>
        <w:spacing w:line="259" w:lineRule="auto" w:after="60"/>
        <w:jc w:val="left"/>
      </w:pPr>
      <w:r>
        <w:t>Antrag:</w:t>
      </w:r>
    </w:p>
    <w:p>
      <w:pPr>
        <w:spacing w:line="259" w:lineRule="auto" w:after="60"/>
        <w:jc w:val="left"/>
      </w:pPr>
      <w:r>
        <w:t>Die Antragsgegnerin wird im Wege der einstweiligen Anordnung verpflichtet, dem Antragsteller vorläufig die Versorgung mit Lunazimerab nach ärztlicher Verordnung der Universitätsklinik Münster für zunächst drei Dosen zu gewähren.</w:t>
      </w:r>
    </w:p>
    <w:p>
      <w:pPr>
        <w:spacing w:line="259" w:lineRule="auto" w:after="60"/>
        <w:jc w:val="left"/>
      </w:pPr>
      <w:r>
        <w:t>Hilfsweise wird beantragt, die Antragsgegnerin zu verpflichten, binnen 48 Stunden eine persönliche fachonkologische Begutachtung unter Einbeziehung des Tumorboards zu veranlassen und bis dahin die Therapiereservierung nicht durch Untätigkeit vereiteln zu lassen.</w:t>
      </w:r>
    </w:p>
    <w:p>
      <w:pPr>
        <w:pStyle w:val="Heading2"/>
        <w:spacing w:line="259" w:lineRule="auto" w:after="60"/>
      </w:pPr>
      <w:r>
        <w:rPr>
          <w:rFonts w:ascii="Times New Roman" w:hAnsi="Times New Roman"/>
        </w:rPr>
        <w:t>Anordnungsgrund</w:t>
      </w:r>
    </w:p>
    <w:p>
      <w:pPr>
        <w:spacing w:line="259" w:lineRule="auto" w:after="60"/>
        <w:jc w:val="left"/>
      </w:pPr>
      <w:r>
        <w:t>Der Therapieslot ist auf den 11.07.2026 reserviert; der Hersteller hält die erste Dosis nur bis zum 05.07.2026 vor, danach ist eine neue Freigabe mit Lieferzeit erforderlich. Nach Auskunft der Klinik verschlechtert jede weitere Verzögerung die Chance auf Krankheitskontrolle; die Bildgebung vom 10.06.2026 zeigt eine zunehmende Belastung der rechten Lunge und eine neue Läsion am Beckenkamm. Eine Entscheidung in der Hauptsache käme für den Antragsteller voraussichtlich zu spät. Die Eheleute Lütke können Kosten von rund 500.000 EUR je Dosis offensichtlich nicht vorfinanzieren.</w:t>
      </w:r>
    </w:p>
    <w:p>
      <w:pPr>
        <w:pStyle w:val="Heading2"/>
        <w:spacing w:line="259" w:lineRule="auto" w:after="60"/>
      </w:pPr>
      <w:r>
        <w:rPr>
          <w:rFonts w:ascii="Times New Roman" w:hAnsi="Times New Roman"/>
        </w:rPr>
        <w:t>Beweisangebote</w:t>
      </w:r>
    </w:p>
    <w:p>
      <w:pPr>
        <w:pStyle w:val="ListNumber"/>
        <w:spacing w:line="259" w:lineRule="auto" w:after="60"/>
      </w:pPr>
      <w:r>
        <w:t>Ärztliche Stellungnahme Prof. Dr. Ebbinghaus.</w:t>
      </w:r>
    </w:p>
    <w:p>
      <w:pPr>
        <w:pStyle w:val="ListNumber"/>
        <w:spacing w:line="259" w:lineRule="auto" w:after="60"/>
      </w:pPr>
      <w:r>
        <w:t>Tumorboardprotokoll vom 29.05.2026.</w:t>
      </w:r>
    </w:p>
    <w:p>
      <w:pPr>
        <w:pStyle w:val="ListNumber"/>
        <w:spacing w:line="259" w:lineRule="auto" w:after="60"/>
      </w:pPr>
      <w:r>
        <w:t>Molekularpathologischer Befund LZ-4.</w:t>
      </w:r>
    </w:p>
    <w:p>
      <w:pPr>
        <w:pStyle w:val="ListNumber"/>
        <w:spacing w:line="259" w:lineRule="auto" w:after="60"/>
      </w:pPr>
      <w:r>
        <w:t>Kostenvoranschlag der Krankenhausapotheke vom 21.06.2026.</w:t>
      </w:r>
    </w:p>
    <w:p>
      <w:pPr>
        <w:pStyle w:val="ListNumber"/>
        <w:spacing w:line="259" w:lineRule="auto" w:after="60"/>
      </w:pPr>
      <w:r>
        <w:t>Anhörung der behandelnden Onkologin.</w:t>
      </w:r>
    </w:p>
    <w:p>
      <w:pPr>
        <w:pStyle w:val="ListNumber"/>
        <w:spacing w:line="259" w:lineRule="auto" w:after="60"/>
      </w:pPr>
      <w:r>
        <w:t>Hilfsweise gerichtliches Sachverständigengutachten mit Fristsetzung.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