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3C54"/>
          <w:sz w:val="28"/>
        </w:rPr>
        <w:t>Möllenkamp &amp; Feldhaus Rechtsanwälte</w:t>
      </w:r>
    </w:p>
    <w:p>
      <w:pPr>
        <w:spacing w:after="60" w:before="120" w:line="259" w:lineRule="auto"/>
      </w:pPr>
      <w:r>
        <w:rPr>
          <w:rFonts w:ascii="Times New Roman" w:hAnsi="Times New Roman"/>
          <w:b/>
          <w:sz w:val="22"/>
        </w:rPr>
        <w:t>Windthorststraße 16, 48143 Münster · Rechtsanwalt Dr. Jonas Möllenkamp</w:t>
      </w:r>
    </w:p>
    <w:p>
      <w:pPr>
        <w:spacing w:before="120" w:after="60" w:line="259" w:lineRule="auto"/>
      </w:pPr>
      <w:r>
        <w:rPr>
          <w:rFonts w:ascii="Times New Roman" w:hAnsi="Times New Roman"/>
          <w:b/>
          <w:color w:val="555555"/>
          <w:sz w:val="22"/>
        </w:rPr>
        <w:t>Unser Zeichen: 2026-233-LÜ/mö · Stand: 30. Juni 2026</w:t>
      </w:r>
    </w:p>
    <w:p>
      <w:pPr>
        <w:spacing w:line="259" w:lineRule="auto" w:after="60"/>
      </w:pPr>
    </w:p>
    <w:p>
      <w:pPr>
        <w:pStyle w:val="Heading1"/>
        <w:spacing w:before="120" w:after="60" w:line="259" w:lineRule="auto"/>
      </w:pPr>
      <w:r>
        <w:rPr>
          <w:rFonts w:ascii="Times New Roman" w:hAnsi="Times New Roman"/>
          <w:b/>
          <w:sz w:val="22"/>
        </w:rPr>
        <w:t>Beweisfragen und Vergleichsfenster im Eilverfahren</w:t>
      </w:r>
    </w:p>
    <w:p>
      <w:pPr>
        <w:spacing w:line="259" w:lineRule="auto" w:after="60"/>
      </w:pPr>
      <w:r>
        <w:rPr>
          <w:b/>
        </w:rPr>
        <w:t>Betreff: Gregor Lütke ./. Vitalis BKK wegen Kostenübernahme Telvuranib-L.</w:t>
      </w:r>
    </w:p>
    <w:p>
      <w:pPr>
        <w:spacing w:line="259" w:lineRule="auto" w:after="60"/>
      </w:pPr>
      <w:r>
        <w:t>Dieses Arbeitspapier dient der Vorbereitung eines sozialgerichtlichen Eilverfahrens. Es ordnet die Fragen so, dass Klinik, Kasse und Gericht nicht aneinander vorbeiprüfen.</w:t>
      </w:r>
    </w:p>
    <w:p>
      <w:pPr>
        <w:pStyle w:val="Heading2"/>
        <w:spacing w:before="120" w:after="60" w:line="259" w:lineRule="auto"/>
      </w:pPr>
      <w:r>
        <w:rPr>
          <w:rFonts w:ascii="Times New Roman" w:hAnsi="Times New Roman"/>
          <w:b/>
          <w:sz w:val="22"/>
        </w:rPr>
        <w:t>Medizinische Beweisfragen</w:t>
      </w:r>
    </w:p>
    <w:p>
      <w:pPr>
        <w:spacing w:line="259" w:lineRule="auto" w:after="60"/>
      </w:pPr>
      <w:r>
        <w:t>Erstens ist zu klären, ob die Standardtherapien tatsächlich ausgeschöpft oder kontraindiziert sind. Zweitens ist zu beantworten, ob für Telvuranib-L im konkreten molekularen Profil eine nicht ganz fernliegende Aussicht auf spürbaren Nutzen besteht. Drittens muss die zeitliche Dringlichkeit aus Progress, Allgemeinzustand und Behandlungsfenster hergeleitet werden.</w:t>
      </w:r>
    </w:p>
    <w:p>
      <w:pPr>
        <w:pStyle w:val="Heading2"/>
        <w:spacing w:line="259" w:lineRule="auto" w:after="60"/>
      </w:pPr>
      <w:r>
        <w:t>Rechtliche Beweisfragen</w:t>
      </w:r>
    </w:p>
    <w:p>
      <w:pPr>
        <w:spacing w:line="259" w:lineRule="auto" w:after="60"/>
      </w:pPr>
      <w:r>
        <w:t>Das Gericht wird voraussichtlich nach Schwere der Erkrankung, Alternativlosigkeit, Datenlage, Risikoabwägung und Folgenabwägung fragen. Die Antragsbegründung sollte deshalb nicht nur Kosten und Wunschtherapie betonen, sondern den konkreten medizinischen Entscheidungspfad des Tumorboards nachvollziehbar machen.</w:t>
      </w:r>
    </w:p>
    <w:p>
      <w:pPr>
        <w:pStyle w:val="Heading2"/>
        <w:spacing w:line="259" w:lineRule="auto" w:after="60"/>
      </w:pPr>
      <w:r>
        <w:t>Vergleichsfenster</w:t>
      </w:r>
    </w:p>
    <w:p>
      <w:pPr>
        <w:spacing w:line="259" w:lineRule="auto" w:after="60"/>
      </w:pPr>
      <w:r>
        <w:t>Denkbar ist eine Kostenübernahme für zwei Zyklen mit vorher festgelegten Abbruchkriterien, Verlaufsbildgebung und erneuter Entscheidung nach Tumorboard. Diese Linie erhält der Kasse Kontrolle, verhindert aber den irreversiblen Verlust des Behandlungsfensters.</w:t>
      </w:r>
    </w:p>
    <w:sectPr w:rsidR="00FC693F" w:rsidRPr="0006063C" w:rsidSect="00034616">
      <w:footerReference w:type="default" r:id="rId9"/>
      <w:head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Eilverfahrensnotiz Lütke ./. Vitalis BKK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