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Kostenvoranschlag der Krankenhausapotheke</w:t>
      </w:r>
    </w:p>
    <w:p>
      <w:pPr>
        <w:spacing w:before="120" w:after="60" w:line="259" w:lineRule="auto"/>
        <w:jc w:val="left"/>
      </w:pPr>
      <w:r>
        <w:rPr>
          <w:rFonts w:ascii="Times New Roman" w:hAnsi="Times New Roman"/>
          <w:b/>
          <w:sz w:val="22"/>
        </w:rPr>
        <w:t>Universitätsklinikum Münster</w:t>
      </w:r>
    </w:p>
    <w:p>
      <w:pPr>
        <w:spacing w:before="120" w:after="60" w:line="259" w:lineRule="auto"/>
        <w:jc w:val="left"/>
      </w:pPr>
      <w:r>
        <w:rPr>
          <w:rFonts w:ascii="Times New Roman" w:hAnsi="Times New Roman"/>
          <w:b/>
          <w:sz w:val="22"/>
        </w:rPr>
        <w:t>Apotheke und Arzneimittelherstellung</w:t>
      </w:r>
    </w:p>
    <w:p>
      <w:pPr>
        <w:spacing w:before="120" w:after="60" w:line="259" w:lineRule="auto"/>
        <w:jc w:val="left"/>
      </w:pPr>
      <w:r>
        <w:rPr>
          <w:rFonts w:ascii="Times New Roman" w:hAnsi="Times New Roman"/>
          <w:b/>
          <w:sz w:val="22"/>
        </w:rPr>
        <w:t>Albert-Schweitzer-Campus 1, Gebäude A12, 48149 Münster</w:t>
      </w:r>
    </w:p>
    <w:p>
      <w:pPr>
        <w:spacing w:before="120" w:after="60" w:line="259" w:lineRule="auto"/>
        <w:jc w:val="left"/>
      </w:pPr>
      <w:r>
        <w:rPr>
          <w:rFonts w:ascii="Times New Roman" w:hAnsi="Times New Roman"/>
          <w:b/>
          <w:sz w:val="22"/>
        </w:rPr>
        <w:t>Telefon 0251 83-4 80 20</w:t>
      </w:r>
    </w:p>
    <w:p>
      <w:pPr>
        <w:spacing w:before="120" w:after="60" w:line="259" w:lineRule="auto"/>
        <w:jc w:val="left"/>
      </w:pPr>
      <w:r>
        <w:rPr>
          <w:rFonts w:ascii="Times New Roman" w:hAnsi="Times New Roman"/>
          <w:b/>
          <w:sz w:val="22"/>
        </w:rPr>
        <w:t>Vorgang: Gregor Lütke, geboren am 22.11.1979, Fallnummer UKM-2026-448 517</w:t>
      </w:r>
    </w:p>
    <w:p>
      <w:pPr>
        <w:spacing w:line="259" w:lineRule="auto" w:after="60"/>
        <w:jc w:val="left"/>
      </w:pPr>
      <w:r>
        <w:t>Erstellt am: 21.06.2026, auf Anforderung des Sarkomzentrums (Prof. Dr. Ebbinghaus)</w:t>
      </w:r>
    </w:p>
    <w:p>
      <w:pPr>
        <w:pStyle w:val="Heading2"/>
        <w:spacing w:before="120" w:after="60" w:line="259" w:lineRule="auto"/>
      </w:pPr>
      <w:r>
        <w:rPr>
          <w:rFonts w:ascii="Times New Roman" w:hAnsi="Times New Roman"/>
          <w:b/>
          <w:sz w:val="22"/>
        </w:rPr>
        <w:t>Arzneimittel</w:t>
      </w:r>
    </w:p>
    <w:p>
      <w:pPr>
        <w:spacing w:line="259" w:lineRule="auto" w:after="60"/>
        <w:jc w:val="left"/>
      </w:pPr>
      <w:r>
        <w:t>Lunazimerab 500 mg Infusionskonzentrat, Sonderbeschaffung über Herstellerprogramm "LZM-Access EU". Das Arzneimittel ist für die beantragte Indikation nicht als Standardtherapie im deutschen Versorgungspfad hinterlegt. Die Klinik sieht nach Tumorboardbeschluss dennoch ein enges Zeitfenster, weil der Patient nach der letzten Bildgebung vom 10.06.2026 eine deutliche Progression in Lunge und Becken zeigt.</w:t>
      </w:r>
    </w:p>
    <w:p>
      <w:pPr>
        <w:pStyle w:val="Heading2"/>
        <w:spacing w:line="259" w:lineRule="auto" w:after="60"/>
      </w:pPr>
      <w:r>
        <w:rPr>
          <w:rFonts w:ascii="Times New Roman" w:hAnsi="Times New Roman"/>
        </w:rPr>
        <w:t>Kosten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Position</w:t>
            </w:r>
          </w:p>
        </w:tc>
        <w:tc>
          <w:tcPr>
            <w:tcW w:type="dxa" w:w="2268"/>
          </w:tcPr>
          <w:p>
            <w:r>
              <w:rPr>
                <w:rFonts w:ascii="Times New Roman" w:hAnsi="Times New Roman"/>
                <w:b/>
                <w:sz w:val="20"/>
              </w:rPr>
              <w:t>Menge</w:t>
            </w:r>
          </w:p>
        </w:tc>
        <w:tc>
          <w:tcPr>
            <w:tcW w:type="dxa" w:w="2268"/>
          </w:tcPr>
          <w:p>
            <w:r>
              <w:rPr>
                <w:rFonts w:ascii="Times New Roman" w:hAnsi="Times New Roman"/>
                <w:b/>
                <w:sz w:val="20"/>
              </w:rPr>
              <w:t>Einzelbetrag</w:t>
            </w:r>
          </w:p>
        </w:tc>
        <w:tc>
          <w:tcPr>
            <w:tcW w:type="dxa" w:w="2268"/>
          </w:tcPr>
          <w:p>
            <w:r>
              <w:rPr>
                <w:rFonts w:ascii="Times New Roman" w:hAnsi="Times New Roman"/>
                <w:b/>
                <w:sz w:val="20"/>
              </w:rPr>
              <w:t>Gesamt</w:t>
            </w:r>
          </w:p>
        </w:tc>
      </w:tr>
      <w:tr>
        <w:tc>
          <w:tcPr>
            <w:tcW w:type="dxa" w:w="2268"/>
          </w:tcPr>
          <w:p>
            <w:r>
              <w:rPr>
                <w:rFonts w:ascii="Times New Roman" w:hAnsi="Times New Roman"/>
                <w:sz w:val="20"/>
              </w:rPr>
              <w:t>Wirkstoff Lunazimerab 500 mg</w:t>
            </w:r>
          </w:p>
        </w:tc>
        <w:tc>
          <w:tcPr>
            <w:tcW w:type="dxa" w:w="2268"/>
          </w:tcPr>
          <w:p>
            <w:r>
              <w:rPr>
                <w:rFonts w:ascii="Times New Roman" w:hAnsi="Times New Roman"/>
                <w:sz w:val="20"/>
              </w:rPr>
              <w:t>1 Dosis</w:t>
            </w:r>
          </w:p>
        </w:tc>
        <w:tc>
          <w:tcPr>
            <w:tcW w:type="dxa" w:w="2268"/>
          </w:tcPr>
          <w:p>
            <w:r>
              <w:rPr>
                <w:rFonts w:ascii="Times New Roman" w:hAnsi="Times New Roman"/>
                <w:sz w:val="20"/>
              </w:rPr>
              <w:t>500.000,00 EUR</w:t>
            </w:r>
          </w:p>
        </w:tc>
        <w:tc>
          <w:tcPr>
            <w:tcW w:type="dxa" w:w="2268"/>
          </w:tcPr>
          <w:p>
            <w:r>
              <w:rPr>
                <w:rFonts w:ascii="Times New Roman" w:hAnsi="Times New Roman"/>
                <w:sz w:val="20"/>
              </w:rPr>
              <w:t>500.000,00 EUR</w:t>
            </w:r>
          </w:p>
        </w:tc>
      </w:tr>
      <w:tr>
        <w:tc>
          <w:tcPr>
            <w:tcW w:type="dxa" w:w="2268"/>
          </w:tcPr>
          <w:p>
            <w:r>
              <w:rPr>
                <w:rFonts w:ascii="Times New Roman" w:hAnsi="Times New Roman"/>
                <w:sz w:val="20"/>
              </w:rPr>
              <w:t>Einfuhr, Kühlkette, Sicherheitslogistik</w:t>
            </w:r>
          </w:p>
        </w:tc>
        <w:tc>
          <w:tcPr>
            <w:tcW w:type="dxa" w:w="2268"/>
          </w:tcPr>
          <w:p>
            <w:r>
              <w:rPr>
                <w:rFonts w:ascii="Times New Roman" w:hAnsi="Times New Roman"/>
                <w:sz w:val="20"/>
              </w:rPr>
              <w:t>1 Vorgang</w:t>
            </w:r>
          </w:p>
        </w:tc>
        <w:tc>
          <w:tcPr>
            <w:tcW w:type="dxa" w:w="2268"/>
          </w:tcPr>
          <w:p>
            <w:r>
              <w:rPr>
                <w:rFonts w:ascii="Times New Roman" w:hAnsi="Times New Roman"/>
                <w:sz w:val="20"/>
              </w:rPr>
              <w:t>8.920,00 EUR</w:t>
            </w:r>
          </w:p>
        </w:tc>
        <w:tc>
          <w:tcPr>
            <w:tcW w:type="dxa" w:w="2268"/>
          </w:tcPr>
          <w:p>
            <w:r>
              <w:rPr>
                <w:rFonts w:ascii="Times New Roman" w:hAnsi="Times New Roman"/>
                <w:sz w:val="20"/>
              </w:rPr>
              <w:t>8.920,00 EUR</w:t>
            </w:r>
          </w:p>
        </w:tc>
      </w:tr>
      <w:tr>
        <w:tc>
          <w:tcPr>
            <w:tcW w:type="dxa" w:w="2268"/>
          </w:tcPr>
          <w:p>
            <w:r>
              <w:rPr>
                <w:rFonts w:ascii="Times New Roman" w:hAnsi="Times New Roman"/>
                <w:sz w:val="20"/>
              </w:rPr>
              <w:t>Sterile Aufbereitung und Plausibilitätsprüfung</w:t>
            </w:r>
          </w:p>
        </w:tc>
        <w:tc>
          <w:tcPr>
            <w:tcW w:type="dxa" w:w="2268"/>
          </w:tcPr>
          <w:p>
            <w:r>
              <w:rPr>
                <w:rFonts w:ascii="Times New Roman" w:hAnsi="Times New Roman"/>
                <w:sz w:val="20"/>
              </w:rPr>
              <w:t>1 Vorgang</w:t>
            </w:r>
          </w:p>
        </w:tc>
        <w:tc>
          <w:tcPr>
            <w:tcW w:type="dxa" w:w="2268"/>
          </w:tcPr>
          <w:p>
            <w:r>
              <w:rPr>
                <w:rFonts w:ascii="Times New Roman" w:hAnsi="Times New Roman"/>
                <w:sz w:val="20"/>
              </w:rPr>
              <w:t>1.480,00 EUR</w:t>
            </w:r>
          </w:p>
        </w:tc>
        <w:tc>
          <w:tcPr>
            <w:tcW w:type="dxa" w:w="2268"/>
          </w:tcPr>
          <w:p>
            <w:r>
              <w:rPr>
                <w:rFonts w:ascii="Times New Roman" w:hAnsi="Times New Roman"/>
                <w:sz w:val="20"/>
              </w:rPr>
              <w:t>1.480,00 EUR</w:t>
            </w:r>
          </w:p>
        </w:tc>
      </w:tr>
      <w:tr>
        <w:tc>
          <w:tcPr>
            <w:tcW w:type="dxa" w:w="2268"/>
          </w:tcPr>
          <w:p>
            <w:r>
              <w:rPr>
                <w:rFonts w:ascii="Times New Roman" w:hAnsi="Times New Roman"/>
                <w:sz w:val="20"/>
              </w:rPr>
              <w:t>Begleitmedikation und Notfallset</w:t>
            </w:r>
          </w:p>
        </w:tc>
        <w:tc>
          <w:tcPr>
            <w:tcW w:type="dxa" w:w="2268"/>
          </w:tcPr>
          <w:p>
            <w:r>
              <w:rPr>
                <w:rFonts w:ascii="Times New Roman" w:hAnsi="Times New Roman"/>
                <w:sz w:val="20"/>
              </w:rPr>
              <w:t>1 Gabe</w:t>
            </w:r>
          </w:p>
        </w:tc>
        <w:tc>
          <w:tcPr>
            <w:tcW w:type="dxa" w:w="2268"/>
          </w:tcPr>
          <w:p>
            <w:r>
              <w:rPr>
                <w:rFonts w:ascii="Times New Roman" w:hAnsi="Times New Roman"/>
                <w:sz w:val="20"/>
              </w:rPr>
              <w:t>1.265,00 EUR</w:t>
            </w:r>
          </w:p>
        </w:tc>
        <w:tc>
          <w:tcPr>
            <w:tcW w:type="dxa" w:w="2268"/>
          </w:tcPr>
          <w:p>
            <w:r>
              <w:rPr>
                <w:rFonts w:ascii="Times New Roman" w:hAnsi="Times New Roman"/>
                <w:sz w:val="20"/>
              </w:rPr>
              <w:t>1.265,00 EUR</w:t>
            </w:r>
          </w:p>
        </w:tc>
      </w:tr>
      <w:tr>
        <w:tc>
          <w:tcPr>
            <w:tcW w:type="dxa" w:w="2268"/>
          </w:tcPr>
          <w:p>
            <w:r>
              <w:rPr>
                <w:rFonts w:ascii="Times New Roman" w:hAnsi="Times New Roman"/>
                <w:sz w:val="20"/>
              </w:rPr>
              <w:t>Summe erste Gabe</w:t>
            </w:r>
          </w:p>
        </w:tc>
        <w:tc>
          <w:tcPr>
            <w:tcW w:type="dxa" w:w="2268"/>
          </w:tcPr>
          <w:p/>
        </w:tc>
        <w:tc>
          <w:tcPr>
            <w:tcW w:type="dxa" w:w="2268"/>
          </w:tcPr>
          <w:p/>
        </w:tc>
        <w:tc>
          <w:tcPr>
            <w:tcW w:type="dxa" w:w="2268"/>
          </w:tcPr>
          <w:p>
            <w:r>
              <w:rPr>
                <w:rFonts w:ascii="Times New Roman" w:hAnsi="Times New Roman"/>
                <w:sz w:val="20"/>
              </w:rPr>
              <w:t>511.665,00 EUR</w:t>
            </w:r>
          </w:p>
        </w:tc>
      </w:tr>
    </w:tbl>
    <w:p>
      <w:pPr>
        <w:spacing w:line="259" w:lineRule="auto" w:after="60"/>
        <w:jc w:val="left"/>
      </w:pPr>
      <w:r>
        <w:t>Für den beantragten Behandlungszyklus sind drei Gaben im Abstand von jeweils sechs Wochen vorgesehen (geplant 11.07.2026, 22.08.2026 und 03.10.2026). Die Apotheke kalkuliert für drei Gaben einschließlich Logistik und Aufbereitung 1.534.995,00 EUR.</w:t>
      </w:r>
    </w:p>
    <w:p>
      <w:pPr>
        <w:pStyle w:val="Heading2"/>
        <w:spacing w:line="259" w:lineRule="auto" w:after="60"/>
      </w:pPr>
      <w:r>
        <w:rPr>
          <w:rFonts w:ascii="Times New Roman" w:hAnsi="Times New Roman"/>
        </w:rPr>
        <w:t>Liefer- und Verfallsrisiko</w:t>
      </w:r>
    </w:p>
    <w:p>
      <w:pPr>
        <w:spacing w:line="259" w:lineRule="auto" w:after="60"/>
        <w:jc w:val="left"/>
      </w:pPr>
      <w:r>
        <w:t>Der Hersteller reserviert die erste Dosis bis 05.07.2026. Danach ist eine neue Freigabe erforderlich. Eine angebrochene Dosis kann nicht weiterverwendet werden. Die Lieferung muss 72 Stunden vor Applikation beauftragt sein. Eine Finanzierung nachträglich nach Gabe ist aus Sicht der Apotheke nur möglich, wenn vorher eine Kostenzusage, ein gerichtlicher Beschluss oder eine schriftliche Übernahmeerklärung vorliegt.</w:t>
      </w:r>
    </w:p>
    <w:p>
      <w:pPr>
        <w:pStyle w:val="Heading2"/>
        <w:spacing w:line="259" w:lineRule="auto" w:after="60"/>
      </w:pPr>
      <w:r>
        <w:rPr>
          <w:rFonts w:ascii="Times New Roman" w:hAnsi="Times New Roman"/>
        </w:rPr>
        <w:t>Fachliche Rückfrage der Apotheke</w:t>
      </w:r>
    </w:p>
    <w:p>
      <w:pPr>
        <w:spacing w:line="259" w:lineRule="auto" w:after="60"/>
        <w:jc w:val="left"/>
      </w:pPr>
      <w:r>
        <w:t>Die Apotheke bittet die behandelnde Klinik um schriftliche Bestätigung, ob die erste Gabe ambulant in der Tagesklinik oder stationär erfolgen soll. Bei stationärer Gabe sind gesonderte DRG- und NUB-Fragen zu klären. Bei ambulanter Gabe liegt das Kostenrisiko unmittelbarer bei der beantragten Einzelkostenübernahme.</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