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left"/>
      </w:pPr>
      <w:r>
        <w:rPr>
          <w:rFonts w:ascii="Times New Roman" w:hAnsi="Times New Roman"/>
          <w:b w:val="0"/>
          <w:i w:val="0"/>
          <w:sz w:val="22"/>
        </w:rPr>
        <w:t>Kanzlei Ahlers und Brinkmann | Aktenzeichen intern 2026-SOZ-0577</w:t>
      </w:r>
    </w:p>
    <w:p>
      <w:pPr>
        <w:pStyle w:val="Heading1"/>
        <w:spacing w:before="120" w:after="60" w:line="259" w:lineRule="auto"/>
      </w:pPr>
      <w:r>
        <w:rPr>
          <w:rFonts w:ascii="Times New Roman" w:hAnsi="Times New Roman"/>
          <w:b/>
          <w:sz w:val="22"/>
        </w:rPr>
        <w:t>Widerspruchsschreiben der Tochter</w:t>
      </w:r>
    </w:p>
    <w:p>
      <w:pPr>
        <w:spacing w:line="259" w:lineRule="auto" w:after="60"/>
        <w:jc w:val="both"/>
      </w:pPr>
      <w:r>
        <w:t>Mara Birk legt Widerspruch ein. Das Schreiben ist knapp, emotional und enthält noch keine saubere Modulargumentation. Es erwähnt aber drei konkrete Stürze, zwei nächtliche Herdsituationen und die Kosten der privaten Nachtwache.</w:t>
      </w:r>
    </w:p>
    <w:p>
      <w:pPr>
        <w:spacing w:line="259" w:lineRule="auto" w:after="60"/>
        <w:jc w:val="both"/>
      </w:pPr>
      <w:r>
        <w:t>Dem Schreiben fehlen noch Anlagenverzeichnis, Modulbezug und Antrag auf Akteneinsicht.</w:t>
      </w:r>
    </w:p>
    <w:sectPr w:rsidR="00FC693F" w:rsidRPr="0006063C" w:rsidSect="00034616">
      <w:headerReference w:type="default" r:id="rId9"/>
      <w:foot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