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Pneumologischer Befundbericht</w:t>
      </w:r>
    </w:p>
    <w:p>
      <w:pPr>
        <w:spacing w:before="120" w:after="60" w:line="259" w:lineRule="auto"/>
        <w:jc w:val="left"/>
      </w:pPr>
      <w:r>
        <w:rPr>
          <w:rFonts w:ascii="Times New Roman" w:hAnsi="Times New Roman"/>
          <w:b/>
          <w:sz w:val="22"/>
        </w:rPr>
        <w:t>Pneumologiezentrum Münster</w:t>
      </w:r>
    </w:p>
    <w:p>
      <w:pPr>
        <w:spacing w:before="120" w:after="60" w:line="259" w:lineRule="auto"/>
        <w:jc w:val="left"/>
      </w:pPr>
      <w:r>
        <w:rPr>
          <w:rFonts w:ascii="Times New Roman" w:hAnsi="Times New Roman"/>
          <w:b/>
          <w:sz w:val="22"/>
        </w:rPr>
        <w:t>Dr. med. Jörn Hachtkemper, Dr. med. Claudia Wesselmann</w:t>
      </w:r>
    </w:p>
    <w:p>
      <w:pPr>
        <w:spacing w:before="120" w:after="60" w:line="259" w:lineRule="auto"/>
        <w:jc w:val="left"/>
      </w:pPr>
      <w:r>
        <w:rPr>
          <w:rFonts w:ascii="Times New Roman" w:hAnsi="Times New Roman"/>
          <w:b/>
          <w:sz w:val="22"/>
        </w:rPr>
        <w:t>Fachärzte für Innere Medizin und Pneumologie</w:t>
      </w:r>
    </w:p>
    <w:p>
      <w:pPr>
        <w:spacing w:before="120" w:after="60" w:line="259" w:lineRule="auto"/>
        <w:jc w:val="left"/>
      </w:pPr>
      <w:r>
        <w:rPr>
          <w:rFonts w:ascii="Times New Roman" w:hAnsi="Times New Roman"/>
          <w:b/>
          <w:sz w:val="22"/>
        </w:rPr>
        <w:t>Weseler Straße 253, 48151 Münster</w:t>
      </w:r>
    </w:p>
    <w:p>
      <w:pPr>
        <w:spacing w:before="120" w:after="60" w:line="259" w:lineRule="auto"/>
        <w:jc w:val="left"/>
      </w:pPr>
      <w:r>
        <w:rPr>
          <w:rFonts w:ascii="Times New Roman" w:hAnsi="Times New Roman"/>
          <w:b/>
          <w:sz w:val="22"/>
        </w:rPr>
        <w:t>Telefon 0251 77 40 91-0</w:t>
      </w:r>
    </w:p>
    <w:p>
      <w:pPr>
        <w:spacing w:before="120" w:after="60" w:line="259" w:lineRule="auto"/>
        <w:jc w:val="left"/>
      </w:pPr>
      <w:r>
        <w:rPr>
          <w:rFonts w:ascii="Times New Roman" w:hAnsi="Times New Roman"/>
          <w:b/>
          <w:sz w:val="22"/>
        </w:rPr>
        <w:t>Münster, den 18.05.2026</w:t>
      </w:r>
    </w:p>
    <w:p>
      <w:pPr>
        <w:spacing w:before="120" w:after="60" w:line="259" w:lineRule="auto"/>
        <w:jc w:val="left"/>
      </w:pPr>
      <w:r>
        <w:rPr>
          <w:rFonts w:ascii="Times New Roman" w:hAnsi="Times New Roman"/>
          <w:b/>
          <w:sz w:val="22"/>
        </w:rPr>
        <w:t>Befundbericht Helga Bertram, geboren am 22.05.1964, Untersuchung am 16.05.2026</w:t>
      </w:r>
    </w:p>
    <w:p>
      <w:pPr>
        <w:pStyle w:val="Heading2"/>
        <w:spacing w:line="259" w:lineRule="auto" w:after="60"/>
      </w:pPr>
      <w:r>
        <w:rPr>
          <w:rFonts w:ascii="Times New Roman" w:hAnsi="Times New Roman"/>
        </w:rPr>
        <w:t>Diagnose</w:t>
      </w:r>
    </w:p>
    <w:p>
      <w:pPr>
        <w:spacing w:line="259" w:lineRule="auto" w:after="60"/>
        <w:jc w:val="left"/>
      </w:pPr>
      <w:r>
        <w:t>COPD Gold II, Gruppe B. Ex-Raucherin seit 2022, zuvor etwa 25 Packungsjahre. Belastungsdyspnoe mMRC 2 bis 3.</w:t>
      </w:r>
    </w:p>
    <w:p>
      <w:pPr>
        <w:pStyle w:val="Heading2"/>
        <w:spacing w:line="259" w:lineRule="auto" w:after="60"/>
      </w:pPr>
      <w:r>
        <w:rPr>
          <w:rFonts w:ascii="Times New Roman" w:hAnsi="Times New Roman"/>
        </w:rPr>
        <w:t>Lungenfunktion vom 16.05.2026</w:t>
      </w:r>
    </w:p>
    <w:p>
      <w:pPr>
        <w:spacing w:line="259" w:lineRule="auto" w:after="60"/>
        <w:jc w:val="left"/>
      </w:pPr>
      <w:r>
        <w:t>FEV1 58 Prozent des Sollwertes (1,52 Liter), FEV1/FVC 61 Prozent, geringe Reversibilität nach Bronchospasmolyse (plus 6 Prozent). Residualvolumen mäßig erhöht als Hinweis auf Überblähung. Sauerstoffsättigung in Ruhe 95 Prozent.</w:t>
      </w:r>
    </w:p>
    <w:p>
      <w:pPr>
        <w:pStyle w:val="Heading2"/>
        <w:spacing w:line="259" w:lineRule="auto" w:after="60"/>
      </w:pPr>
      <w:r>
        <w:rPr>
          <w:rFonts w:ascii="Times New Roman" w:hAnsi="Times New Roman"/>
        </w:rPr>
        <w:t>Sechs-Minuten-Gehtest vom 16.05.2026</w:t>
      </w:r>
    </w:p>
    <w:p>
      <w:pPr>
        <w:spacing w:line="259" w:lineRule="auto" w:after="60"/>
        <w:jc w:val="left"/>
      </w:pPr>
      <w:r>
        <w:t>Gehstrecke 298 Meter. Abbruch nach sechs Minuten wegen Atemnot und brennender Fußschmerzen. Sättigungsabfall unter Belastung auf 91 Prozent, Erholung in Ruhe innerhalb von vier Minuten. Borg-Dyspnoe am Testende 6 von 10. Die Patientin machte während des Tests zwei kurze Stehpausen.</w:t>
      </w:r>
    </w:p>
    <w:p>
      <w:pPr>
        <w:pStyle w:val="Heading2"/>
        <w:spacing w:line="259" w:lineRule="auto" w:after="60"/>
      </w:pPr>
      <w:r>
        <w:rPr>
          <w:rFonts w:ascii="Times New Roman" w:hAnsi="Times New Roman"/>
        </w:rPr>
        <w:t>Therapie und Verlauf</w:t>
      </w:r>
    </w:p>
    <w:p>
      <w:pPr>
        <w:spacing w:line="259" w:lineRule="auto" w:after="60"/>
        <w:jc w:val="left"/>
      </w:pPr>
      <w:r>
        <w:t>Duale Bronchodilatation mit LABA/LAMA-Fixkombination, Salbutamol als Bedarfsspray. Atemphysiotherapie wurde empfohlen, ein Rezept ist ausgestellt. Eine Indikation für eine Langzeitsauerstofftherapie besteht derzeit nicht. Im Vergleich zur Voruntersuchung von September 2024 (FEV1 damals 66 Prozent Soll, Gehstrecke 385 Meter) ist die Belastbarkeit deutlich reduziert. Die Patientin berichtet, Treppen in den ersten Stock nur noch mit Pause zu schaffen; bei feuchtwarmer Witterung und in der Dampfatmosphäre ihrer Küchentätigkeit verstärke sich die Luftnot.</w:t>
      </w:r>
    </w:p>
    <w:p>
      <w:pPr>
        <w:pStyle w:val="Heading2"/>
        <w:spacing w:line="259" w:lineRule="auto" w:after="60"/>
      </w:pPr>
      <w:r>
        <w:rPr>
          <w:rFonts w:ascii="Times New Roman" w:hAnsi="Times New Roman"/>
        </w:rPr>
        <w:t>Beurteilung</w:t>
      </w:r>
    </w:p>
    <w:p>
      <w:pPr>
        <w:spacing w:line="259" w:lineRule="auto" w:after="60"/>
        <w:jc w:val="left"/>
      </w:pPr>
      <w:r>
        <w:t>Mittelgradige, im Verlauf zunehmende obstruktive Ventilationsstörung mit relevanter Einschränkung der Belastbarkeit. Der Sechs-Minuten-Gehtest ist durch die Kombination aus Dyspnoe und neuropathischen Fußschmerzen limitiert; die pneumologische Komponente allein erklärt die kurze Gehstrecke nicht vollständig, trägt aber wesentlich bei. Wiedervorstellung in sechs Monaten oder bei Verschlechterung vereinbart.</w:t>
      </w:r>
    </w:p>
    <w:p>
      <w:pPr>
        <w:spacing w:line="259" w:lineRule="auto" w:after="60"/>
        <w:jc w:val="left"/>
      </w:pPr>
      <w:r>
        <w:t>Dr. med. Jörn Hachtkemper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