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Orthopädischer Befundbericht</w:t>
      </w:r>
    </w:p>
    <w:p>
      <w:pPr>
        <w:spacing w:before="120" w:after="60" w:line="259" w:lineRule="auto"/>
        <w:jc w:val="left"/>
      </w:pPr>
      <w:r>
        <w:rPr>
          <w:rFonts w:ascii="Times New Roman" w:hAnsi="Times New Roman"/>
          <w:b/>
          <w:sz w:val="22"/>
        </w:rPr>
        <w:t>Orthopädische Gemeinschaftspraxis</w:t>
      </w:r>
    </w:p>
    <w:p>
      <w:pPr>
        <w:spacing w:before="120" w:after="60" w:line="259" w:lineRule="auto"/>
        <w:jc w:val="left"/>
      </w:pPr>
      <w:r>
        <w:rPr>
          <w:rFonts w:ascii="Times New Roman" w:hAnsi="Times New Roman"/>
          <w:b/>
          <w:sz w:val="22"/>
        </w:rPr>
        <w:t>Dr. med. Ansgar Kleffner, Dr. med. Katarzyna Sowa</w:t>
      </w:r>
    </w:p>
    <w:p>
      <w:pPr>
        <w:spacing w:before="120" w:after="60" w:line="259" w:lineRule="auto"/>
        <w:jc w:val="left"/>
      </w:pPr>
      <w:r>
        <w:rPr>
          <w:rFonts w:ascii="Times New Roman" w:hAnsi="Times New Roman"/>
          <w:b/>
          <w:sz w:val="22"/>
        </w:rPr>
        <w:t>Fachärzte für Orthopädie und Unfallchirurgie</w:t>
      </w:r>
    </w:p>
    <w:p>
      <w:pPr>
        <w:spacing w:before="120" w:after="60" w:line="259" w:lineRule="auto"/>
        <w:jc w:val="left"/>
      </w:pPr>
      <w:r>
        <w:rPr>
          <w:rFonts w:ascii="Times New Roman" w:hAnsi="Times New Roman"/>
          <w:b/>
          <w:sz w:val="22"/>
        </w:rPr>
        <w:t>Hammer Straße 118, 48153 Münster</w:t>
      </w:r>
    </w:p>
    <w:p>
      <w:pPr>
        <w:spacing w:before="120" w:after="60" w:line="259" w:lineRule="auto"/>
        <w:jc w:val="left"/>
      </w:pPr>
      <w:r>
        <w:rPr>
          <w:rFonts w:ascii="Times New Roman" w:hAnsi="Times New Roman"/>
          <w:b/>
          <w:sz w:val="22"/>
        </w:rPr>
        <w:t>Telefon 0251 52 30 77-0</w:t>
      </w:r>
    </w:p>
    <w:p>
      <w:pPr>
        <w:spacing w:before="120" w:after="60" w:line="259" w:lineRule="auto"/>
        <w:jc w:val="left"/>
      </w:pPr>
      <w:r>
        <w:rPr>
          <w:rFonts w:ascii="Times New Roman" w:hAnsi="Times New Roman"/>
          <w:b/>
          <w:sz w:val="22"/>
        </w:rPr>
        <w:t>Münster, den 08.07.2026</w:t>
      </w:r>
    </w:p>
    <w:p>
      <w:pPr>
        <w:spacing w:before="120" w:after="60" w:line="259" w:lineRule="auto"/>
        <w:jc w:val="left"/>
      </w:pPr>
      <w:r>
        <w:rPr>
          <w:rFonts w:ascii="Times New Roman" w:hAnsi="Times New Roman"/>
          <w:b/>
          <w:sz w:val="22"/>
        </w:rPr>
        <w:t>An die</w:t>
      </w:r>
    </w:p>
    <w:p>
      <w:pPr>
        <w:spacing w:line="259" w:lineRule="auto" w:after="60"/>
        <w:jc w:val="left"/>
      </w:pPr>
      <w:r>
        <w:rPr>
          <w:rFonts w:ascii="Times New Roman" w:hAnsi="Times New Roman"/>
          <w:b w:val="0"/>
          <w:i w:val="0"/>
          <w:sz w:val="22"/>
        </w:rPr>
        <w:t>Kanzlei Terwiel &amp; Brandhove</w:t>
      </w:r>
    </w:p>
    <w:p>
      <w:pPr>
        <w:spacing w:line="259" w:lineRule="auto" w:after="60"/>
        <w:jc w:val="left"/>
      </w:pPr>
      <w:r>
        <w:t>Salzstraße 21</w:t>
      </w:r>
    </w:p>
    <w:p>
      <w:pPr>
        <w:spacing w:line="259" w:lineRule="auto" w:after="60"/>
        <w:jc w:val="left"/>
      </w:pPr>
      <w:r>
        <w:t>48143 Münster</w:t>
      </w:r>
    </w:p>
    <w:p>
      <w:pPr>
        <w:spacing w:line="259" w:lineRule="auto" w:after="60"/>
        <w:jc w:val="left"/>
      </w:pPr>
      <w:r>
        <w:rPr>
          <w:b/>
        </w:rPr>
        <w:t>Befundbericht Helga Bertram, geboren am 22.05.1964, auf Ihre Anforderung vom 01.07.2026; Schweigepflichtentbindung liegt vor</w:t>
      </w:r>
    </w:p>
    <w:p>
      <w:pPr>
        <w:spacing w:line="259" w:lineRule="auto" w:after="60"/>
        <w:jc w:val="left"/>
      </w:pPr>
      <w:r>
        <w:t>Sehr geehrte Damen und Herren,</w:t>
      </w:r>
    </w:p>
    <w:p>
      <w:pPr>
        <w:spacing w:line="259" w:lineRule="auto" w:after="60"/>
        <w:jc w:val="left"/>
      </w:pPr>
      <w:r>
        <w:t>Frau Bertram ist seit 2019 in unserer Behandlung, zuletzt vorgestellt am 30.06.2026.</w:t>
      </w:r>
    </w:p>
    <w:p>
      <w:pPr>
        <w:pStyle w:val="Heading2"/>
        <w:spacing w:line="259" w:lineRule="auto" w:after="60"/>
      </w:pPr>
      <w:r>
        <w:rPr>
          <w:rFonts w:ascii="Times New Roman" w:hAnsi="Times New Roman"/>
        </w:rPr>
        <w:t>Diagnosen</w:t>
      </w:r>
    </w:p>
    <w:p>
      <w:pPr>
        <w:pStyle w:val="ListNumber"/>
        <w:spacing w:line="259" w:lineRule="auto" w:after="60"/>
      </w:pPr>
      <w:r>
        <w:t>Gonarthrose rechts, Kellgren-Lawrence Grad III (Röntgen vom 30.06.2026), mit rezidivierender Reizerguss-Bildung nach Belastung.</w:t>
      </w:r>
    </w:p>
    <w:p>
      <w:pPr>
        <w:pStyle w:val="ListNumber"/>
        <w:spacing w:line="259" w:lineRule="auto" w:after="60"/>
      </w:pPr>
      <w:r>
        <w:t>Chronisches Lumbalsyndrom bei Osteochondrose L4/L5 und Spondylarthrose, ohne radikuläre Symptomatik.</w:t>
      </w:r>
    </w:p>
    <w:p>
      <w:pPr>
        <w:pStyle w:val="Heading2"/>
        <w:spacing w:line="259" w:lineRule="auto" w:after="60"/>
      </w:pPr>
      <w:r>
        <w:rPr>
          <w:rFonts w:ascii="Times New Roman" w:hAnsi="Times New Roman"/>
        </w:rPr>
        <w:t>Befund vom 30.06.2026</w:t>
      </w:r>
    </w:p>
    <w:p>
      <w:pPr>
        <w:spacing w:line="259" w:lineRule="auto" w:after="60"/>
        <w:jc w:val="left"/>
      </w:pPr>
      <w:r>
        <w:t>Rechtes Kniegelenk: Beugung/Streckung 0-0-110 Grad, medialer Gelenkspaltdruckschmerz, geringer Erguss, Krepitation. Die Patientin berichtet Anlaufschmerz und Belastungsschmerz nach etwa 15 Minuten Stehen oder 300 Metern Gehen. Lendenwirbelsäule: Finger-Boden-Abstand 24 cm, paravertebraler Hartspann, Zeichen nach Lasègue beidseits negativ. Das Gangbild ist rechtsseitig schonhinkend, ohne Hilfsmittel, verlangsamt.</w:t>
      </w:r>
    </w:p>
    <w:p>
      <w:pPr>
        <w:pStyle w:val="Heading2"/>
        <w:spacing w:line="259" w:lineRule="auto" w:after="60"/>
      </w:pPr>
      <w:r>
        <w:rPr>
          <w:rFonts w:ascii="Times New Roman" w:hAnsi="Times New Roman"/>
        </w:rPr>
        <w:t>Beurteilung der Geh- und Stehfähigkeit</w:t>
      </w:r>
    </w:p>
    <w:p>
      <w:pPr>
        <w:spacing w:line="259" w:lineRule="auto" w:after="60"/>
        <w:jc w:val="left"/>
      </w:pPr>
      <w:r>
        <w:t>Aus orthopädischer Sicht ist die Steh- und Gehbelastbarkeit relevant gemindert. Die Gonarthrose limitiert längeres Stehen und Treppensteigen; das Treppabgehen ist schmerzführend. Zusammen mit der uns aus den Vorbefunden bekannten Polyneuropathie ergibt sich eine deutlich sturzgefährdete Gangsituation. Eine Versorgung mit einer entlastenden Knieorthese wurde verordnet, ferner Krankengymnastik. Eine Endoprothese ist derzeit nicht indiziert, wird aber bei Progredienz in den nächsten Jahren zu diskutieren sein.</w:t>
      </w:r>
    </w:p>
    <w:p>
      <w:pPr>
        <w:spacing w:line="259" w:lineRule="auto" w:after="60"/>
        <w:jc w:val="left"/>
      </w:pPr>
      <w:r>
        <w:t>Mit freundlichen Grüßen</w:t>
      </w:r>
    </w:p>
    <w:p>
      <w:pPr>
        <w:spacing w:line="259" w:lineRule="auto" w:after="60"/>
        <w:jc w:val="left"/>
      </w:pPr>
      <w:r>
        <w:t>Dr. med. Ansgar Kleffner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