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2026-SOZ-1765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Fachärztliche Stellungnahme</w:t>
      </w:r>
    </w:p>
    <w:p>
      <w:pPr>
        <w:spacing w:line="259" w:lineRule="auto" w:after="60"/>
        <w:jc w:val="both"/>
      </w:pPr>
      <w:r>
        <w:t>Die Stellungnahme beschreibt Autismus-Spektrum-Störung, belastungsabhängige Mutismusphasen und gute fachliche Leistungsfähigkeit bei klarer Struktur. Sie empfiehlt eine vertraute Assistenzperson, keine wechselnden Tageskräfte.</w:t>
      </w:r>
    </w:p>
    <w:p>
      <w:pPr>
        <w:spacing w:line="259" w:lineRule="auto" w:after="60"/>
        <w:jc w:val="both"/>
      </w:pPr>
      <w:r>
        <w:t>Die Ärztin trennt Lernförderung von Teilhabesicherung und betont, dass es nicht um Nachhilfe geht.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